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F77DEC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F77DEC" w:rsidRDefault="00BA7F47" w:rsidP="00BA7F47">
      <w:pPr>
        <w:pStyle w:val="Default"/>
        <w:spacing w:beforeLines="100" w:before="312"/>
        <w:jc w:val="center"/>
        <w:rPr>
          <w:color w:val="auto"/>
          <w:sz w:val="32"/>
          <w:szCs w:val="32"/>
        </w:rPr>
      </w:pPr>
      <w:r w:rsidRPr="00F77DEC">
        <w:rPr>
          <w:rFonts w:hint="eastAsia"/>
          <w:color w:val="auto"/>
          <w:sz w:val="32"/>
          <w:szCs w:val="32"/>
        </w:rPr>
        <w:t>上理管</w:t>
      </w:r>
      <w:r w:rsidR="00C96CE9" w:rsidRPr="00F77DEC">
        <w:rPr>
          <w:rFonts w:hint="eastAsia"/>
          <w:color w:val="auto"/>
          <w:sz w:val="32"/>
          <w:szCs w:val="32"/>
        </w:rPr>
        <w:t>〔20</w:t>
      </w:r>
      <w:r w:rsidR="00E63551" w:rsidRPr="00F77DEC">
        <w:rPr>
          <w:color w:val="auto"/>
          <w:sz w:val="32"/>
          <w:szCs w:val="32"/>
        </w:rPr>
        <w:t>20</w:t>
      </w:r>
      <w:r w:rsidR="00C96CE9" w:rsidRPr="00F77DEC">
        <w:rPr>
          <w:rFonts w:hint="eastAsia"/>
          <w:color w:val="auto"/>
          <w:sz w:val="32"/>
          <w:szCs w:val="32"/>
        </w:rPr>
        <w:t>〕</w:t>
      </w:r>
      <w:r w:rsidR="00417892" w:rsidRPr="00F77DEC">
        <w:rPr>
          <w:color w:val="auto"/>
          <w:sz w:val="32"/>
          <w:szCs w:val="32"/>
        </w:rPr>
        <w:t>2</w:t>
      </w:r>
      <w:r w:rsidR="00011CB2">
        <w:rPr>
          <w:rFonts w:hint="eastAsia"/>
          <w:color w:val="auto"/>
          <w:sz w:val="32"/>
          <w:szCs w:val="32"/>
        </w:rPr>
        <w:t>4</w:t>
      </w:r>
      <w:r w:rsidRPr="00F77DEC">
        <w:rPr>
          <w:rFonts w:hint="eastAsia"/>
          <w:color w:val="auto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DE063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F77DEC" w:rsidRDefault="00750A02" w:rsidP="008203C1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F77DEC">
        <w:rPr>
          <w:rFonts w:ascii="Calibri" w:eastAsia="宋体" w:hAnsi="Calibri" w:cs="Times New Roman"/>
          <w:b/>
          <w:sz w:val="36"/>
          <w:szCs w:val="36"/>
        </w:rPr>
        <w:t>新进博士及引进人才科研启动费</w:t>
      </w:r>
      <w:r w:rsidRPr="00F77DEC">
        <w:rPr>
          <w:rFonts w:ascii="Calibri" w:eastAsia="宋体" w:hAnsi="Calibri" w:cs="Times New Roman" w:hint="eastAsia"/>
          <w:b/>
          <w:sz w:val="36"/>
          <w:szCs w:val="36"/>
        </w:rPr>
        <w:t>项目</w:t>
      </w:r>
      <w:r w:rsidRPr="00F77DEC">
        <w:rPr>
          <w:rFonts w:ascii="Calibri" w:eastAsia="宋体" w:hAnsi="Calibri" w:cs="Times New Roman"/>
          <w:b/>
          <w:sz w:val="36"/>
          <w:szCs w:val="36"/>
        </w:rPr>
        <w:t>管理办法</w:t>
      </w:r>
    </w:p>
    <w:p w:rsidR="00E63551" w:rsidRPr="00F77DEC" w:rsidRDefault="00E63551" w:rsidP="00750A02">
      <w:pPr>
        <w:spacing w:after="240" w:line="360" w:lineRule="auto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FF1CB0" w:rsidRDefault="00750A02" w:rsidP="00FF1CB0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/>
          <w:kern w:val="0"/>
          <w:sz w:val="30"/>
          <w:szCs w:val="30"/>
        </w:rPr>
        <w:t>为加强新进博士及引进人才启动费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项目</w:t>
      </w:r>
      <w:r w:rsidRPr="00F77DEC">
        <w:rPr>
          <w:rFonts w:ascii="Arial" w:eastAsia="宋体" w:hAnsi="Arial" w:cs="Arial"/>
          <w:kern w:val="0"/>
          <w:sz w:val="30"/>
          <w:szCs w:val="30"/>
        </w:rPr>
        <w:t>的管理，以便更好地帮助新进博士、引进人才尽快确立研究方向，孵化出省部级、国家级科研项目，提高其科研水平和学术水平，促进学院学科建设与发展，制定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本办法。</w:t>
      </w:r>
    </w:p>
    <w:p w:rsidR="00750A02" w:rsidRPr="00F77DEC" w:rsidRDefault="00750A02" w:rsidP="00FF1CB0">
      <w:pPr>
        <w:spacing w:line="360" w:lineRule="auto"/>
        <w:ind w:firstLineChars="200" w:firstLine="602"/>
        <w:rPr>
          <w:rFonts w:ascii="Arial" w:eastAsia="宋体" w:hAnsi="Arial" w:cs="Times New Roman"/>
          <w:b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b/>
          <w:kern w:val="0"/>
          <w:sz w:val="30"/>
          <w:szCs w:val="28"/>
        </w:rPr>
        <w:t>一、科研启动费申请人员范围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、新进博士（不含博士后）：资助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万元，项目执行期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年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、引进人才：非年薪制高级专业技术职务人员，资助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万，项目执行期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年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、本学院在职攻读博士学位人员，获得毕业证和学位证后：资助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万元，项目执行期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年。</w:t>
      </w:r>
    </w:p>
    <w:p w:rsidR="00750A02" w:rsidRPr="00F77DEC" w:rsidRDefault="00750A02" w:rsidP="00750A02">
      <w:pPr>
        <w:spacing w:line="360" w:lineRule="auto"/>
        <w:ind w:firstLineChars="200" w:firstLine="602"/>
        <w:rPr>
          <w:rFonts w:ascii="Arial" w:eastAsia="宋体" w:hAnsi="Arial" w:cs="Times New Roman"/>
          <w:b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b/>
          <w:kern w:val="0"/>
          <w:sz w:val="30"/>
          <w:szCs w:val="28"/>
        </w:rPr>
        <w:t>二、科研启动费下拨形式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、科研启动费一般按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60%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30%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10%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的比例分三个阶段下拨，即：项目立项后下拨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60%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的经费；项目通过中期检查后再下拨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30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％的经费；项目在规定时间内通过结题后，下拨剩余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10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％的经费。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lastRenderedPageBreak/>
        <w:t>2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、科研启动</w:t>
      </w:r>
      <w:proofErr w:type="gramStart"/>
      <w:r w:rsidRPr="00F77DEC">
        <w:rPr>
          <w:rFonts w:ascii="Arial" w:eastAsia="宋体" w:hAnsi="Arial" w:cs="Arial" w:hint="eastAsia"/>
          <w:kern w:val="0"/>
          <w:sz w:val="30"/>
          <w:szCs w:val="30"/>
        </w:rPr>
        <w:t>费属于</w:t>
      </w:r>
      <w:proofErr w:type="gramEnd"/>
      <w:r w:rsidRPr="00F77DEC">
        <w:rPr>
          <w:rFonts w:ascii="Arial" w:eastAsia="宋体" w:hAnsi="Arial" w:cs="Arial" w:hint="eastAsia"/>
          <w:kern w:val="0"/>
          <w:sz w:val="30"/>
          <w:szCs w:val="30"/>
        </w:rPr>
        <w:t>学院日常经费范畴，经费使用采用报销模式；</w:t>
      </w:r>
      <w:proofErr w:type="gramStart"/>
      <w:r w:rsidRPr="00F77DEC">
        <w:rPr>
          <w:rFonts w:ascii="Arial" w:eastAsia="宋体" w:hAnsi="Arial" w:cs="Arial" w:hint="eastAsia"/>
          <w:kern w:val="0"/>
          <w:sz w:val="30"/>
          <w:szCs w:val="30"/>
        </w:rPr>
        <w:t>科研副</w:t>
      </w:r>
      <w:proofErr w:type="gramEnd"/>
      <w:r w:rsidRPr="00F77DEC">
        <w:rPr>
          <w:rFonts w:ascii="Arial" w:eastAsia="宋体" w:hAnsi="Arial" w:cs="Arial" w:hint="eastAsia"/>
          <w:kern w:val="0"/>
          <w:sz w:val="30"/>
          <w:szCs w:val="30"/>
        </w:rPr>
        <w:t>院长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/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院长是经费负责人，授权相应经费额度给申请人。申请人按照每年学校及学院规定的预算内容编制预算，报销内容严格按照当年预算执行。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、科研启动</w:t>
      </w:r>
      <w:proofErr w:type="gramStart"/>
      <w:r w:rsidRPr="00F77DEC">
        <w:rPr>
          <w:rFonts w:ascii="Arial" w:eastAsia="宋体" w:hAnsi="Arial" w:cs="Arial" w:hint="eastAsia"/>
          <w:kern w:val="0"/>
          <w:sz w:val="30"/>
          <w:szCs w:val="30"/>
        </w:rPr>
        <w:t>费当年</w:t>
      </w:r>
      <w:proofErr w:type="gramEnd"/>
      <w:r w:rsidRPr="00F77DEC">
        <w:rPr>
          <w:rFonts w:ascii="Arial" w:eastAsia="宋体" w:hAnsi="Arial" w:cs="Arial" w:hint="eastAsia"/>
          <w:kern w:val="0"/>
          <w:sz w:val="30"/>
          <w:szCs w:val="30"/>
        </w:rPr>
        <w:t>下拨额度的使用期限和学院日常经费使用期限一致，根据学校规定的封</w:t>
      </w:r>
      <w:proofErr w:type="gramStart"/>
      <w:r w:rsidRPr="00F77DEC">
        <w:rPr>
          <w:rFonts w:ascii="Arial" w:eastAsia="宋体" w:hAnsi="Arial" w:cs="Arial" w:hint="eastAsia"/>
          <w:kern w:val="0"/>
          <w:sz w:val="30"/>
          <w:szCs w:val="30"/>
        </w:rPr>
        <w:t>账时间</w:t>
      </w:r>
      <w:proofErr w:type="gramEnd"/>
      <w:r w:rsidRPr="00F77DEC">
        <w:rPr>
          <w:rFonts w:ascii="Arial" w:eastAsia="宋体" w:hAnsi="Arial" w:cs="Arial" w:hint="eastAsia"/>
          <w:kern w:val="0"/>
          <w:sz w:val="30"/>
          <w:szCs w:val="30"/>
        </w:rPr>
        <w:t>进行清零，下一年度不再补发。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、未按期结题的项目，项目中止，结题经费不再下拨。</w:t>
      </w:r>
    </w:p>
    <w:p w:rsidR="00750A02" w:rsidRPr="00F77DEC" w:rsidRDefault="00750A02" w:rsidP="00750A02">
      <w:pPr>
        <w:spacing w:line="360" w:lineRule="auto"/>
        <w:ind w:firstLineChars="200" w:firstLine="602"/>
        <w:rPr>
          <w:rFonts w:ascii="Arial" w:eastAsia="宋体" w:hAnsi="Arial" w:cs="Times New Roman"/>
          <w:b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b/>
          <w:kern w:val="0"/>
          <w:sz w:val="30"/>
          <w:szCs w:val="28"/>
        </w:rPr>
        <w:t>三、科研启动费申请流程</w:t>
      </w:r>
    </w:p>
    <w:p w:rsidR="00750A02" w:rsidRPr="00F77DEC" w:rsidRDefault="00750A02" w:rsidP="00750A02">
      <w:pPr>
        <w:spacing w:line="360" w:lineRule="auto"/>
        <w:ind w:firstLineChars="200" w:firstLine="602"/>
        <w:rPr>
          <w:rFonts w:ascii="Arial" w:eastAsia="宋体" w:hAnsi="Arial" w:cs="Times New Roman"/>
          <w:b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b/>
          <w:kern w:val="0"/>
          <w:sz w:val="30"/>
          <w:szCs w:val="28"/>
        </w:rPr>
        <w:t>（一）立项流程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/>
          <w:kern w:val="0"/>
          <w:sz w:val="30"/>
          <w:szCs w:val="30"/>
        </w:rPr>
        <w:t>1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、每年上半年学院网站发布通知。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、经学院人事办公室初审，符合条件的申请人填写《管理学院科研启动费项目申请书》（附件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）提交至学院科研秘书处。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、学院组成专家组对申报项目进行评审，评审通过后，学院网站公示立项结果。立项后，学院通知申请人提交当年立项经费额度预算表，开始执行当年预算。</w:t>
      </w:r>
    </w:p>
    <w:p w:rsidR="00750A02" w:rsidRPr="00F77DEC" w:rsidRDefault="00750A02" w:rsidP="00750A02">
      <w:pPr>
        <w:spacing w:line="360" w:lineRule="auto"/>
        <w:ind w:firstLineChars="200" w:firstLine="602"/>
        <w:rPr>
          <w:rFonts w:ascii="Arial" w:eastAsia="宋体" w:hAnsi="Arial" w:cs="Times New Roman"/>
          <w:b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b/>
          <w:kern w:val="0"/>
          <w:sz w:val="30"/>
          <w:szCs w:val="28"/>
        </w:rPr>
        <w:t>（二）中期检查流程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/>
          <w:kern w:val="0"/>
          <w:sz w:val="30"/>
          <w:szCs w:val="30"/>
        </w:rPr>
        <w:t>1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、每年上半年学院网站发布通知，科研秘书通知需要中期检查人员提交《管理学院科研启动费中期检查表》（附件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）及相关成果材料。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F77DEC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77DEC">
        <w:rPr>
          <w:rFonts w:ascii="Arial" w:eastAsia="宋体" w:hAnsi="Arial" w:cs="Arial" w:hint="eastAsia"/>
          <w:kern w:val="0"/>
          <w:sz w:val="30"/>
          <w:szCs w:val="30"/>
        </w:rPr>
        <w:t>、学院组织专家评审小组对项目进行中期检查，提出中期检查意见。学院网站公示中期检查结果。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Times New Roman"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lastRenderedPageBreak/>
        <w:t>3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、中期检查通过后，学院通知申请人提交当年中期经费额度预算表，开始执行当年预算。</w:t>
      </w:r>
    </w:p>
    <w:p w:rsidR="00750A02" w:rsidRPr="00F77DEC" w:rsidRDefault="00750A02" w:rsidP="00750A02">
      <w:pPr>
        <w:spacing w:line="360" w:lineRule="auto"/>
        <w:ind w:firstLineChars="200" w:firstLine="602"/>
        <w:rPr>
          <w:rFonts w:ascii="Arial" w:eastAsia="宋体" w:hAnsi="Arial" w:cs="Times New Roman"/>
          <w:b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b/>
          <w:kern w:val="0"/>
          <w:sz w:val="30"/>
          <w:szCs w:val="28"/>
        </w:rPr>
        <w:t>（三）结题流程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Times New Roman"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1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、每年上半年学院网站发布通知，科研秘书通知需要结题人员提交《管理学院科研启动费结题报告书》（附件</w:t>
      </w:r>
      <w:r w:rsidRPr="00F77DEC">
        <w:rPr>
          <w:rFonts w:ascii="Arial" w:eastAsia="宋体" w:hAnsi="Arial" w:cs="Times New Roman"/>
          <w:kern w:val="0"/>
          <w:sz w:val="30"/>
          <w:szCs w:val="28"/>
        </w:rPr>
        <w:t>3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）及相关成果材料。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Times New Roman"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2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、学院组织专家评审小组对项目进行结题评审，评审通过后方可结题。学院网站公示结题情况。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Times New Roman"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3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、项目结题通过后，学院通知申请人提交当年结题经费额度预算表，开始执行当年预算。</w:t>
      </w:r>
    </w:p>
    <w:p w:rsidR="00750A02" w:rsidRPr="00F77DEC" w:rsidRDefault="00750A02" w:rsidP="00750A02">
      <w:pPr>
        <w:spacing w:line="360" w:lineRule="auto"/>
        <w:ind w:firstLineChars="200" w:firstLine="600"/>
        <w:rPr>
          <w:rFonts w:ascii="Arial" w:eastAsia="宋体" w:hAnsi="Arial" w:cs="Times New Roman"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上述办法中未涉及的其他问题按学校有关文件规定执行，或由学院党政联席会解释。</w:t>
      </w:r>
    </w:p>
    <w:p w:rsidR="00750A02" w:rsidRDefault="00750A02" w:rsidP="008203C1">
      <w:pPr>
        <w:spacing w:after="240"/>
        <w:rPr>
          <w:rFonts w:ascii="宋体" w:eastAsia="宋体" w:hAnsi="宋体" w:cs="Arial"/>
          <w:kern w:val="0"/>
          <w:sz w:val="28"/>
          <w:szCs w:val="28"/>
        </w:rPr>
      </w:pPr>
    </w:p>
    <w:p w:rsidR="00750A02" w:rsidRDefault="00750A02" w:rsidP="008203C1">
      <w:pPr>
        <w:spacing w:after="240"/>
        <w:rPr>
          <w:rFonts w:ascii="宋体" w:eastAsia="宋体" w:hAnsi="宋体" w:cs="Arial"/>
          <w:kern w:val="0"/>
          <w:sz w:val="28"/>
          <w:szCs w:val="28"/>
        </w:rPr>
      </w:pPr>
    </w:p>
    <w:p w:rsidR="00750A02" w:rsidRPr="00750A02" w:rsidRDefault="00750A02" w:rsidP="008203C1">
      <w:pPr>
        <w:spacing w:after="240"/>
        <w:rPr>
          <w:rFonts w:ascii="宋体" w:eastAsia="宋体" w:hAnsi="宋体" w:cs="Arial"/>
          <w:kern w:val="0"/>
          <w:sz w:val="28"/>
          <w:szCs w:val="28"/>
        </w:rPr>
      </w:pPr>
    </w:p>
    <w:p w:rsidR="00D92EDF" w:rsidRPr="00F77DEC" w:rsidRDefault="00D92EDF" w:rsidP="00D92EDF">
      <w:pPr>
        <w:ind w:left="480" w:right="560"/>
        <w:jc w:val="right"/>
        <w:rPr>
          <w:rFonts w:ascii="Arial" w:eastAsia="宋体" w:hAnsi="Arial" w:cs="Times New Roman"/>
          <w:kern w:val="0"/>
          <w:sz w:val="30"/>
          <w:szCs w:val="28"/>
        </w:rPr>
      </w:pP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管理学院</w:t>
      </w:r>
    </w:p>
    <w:p w:rsidR="00D92EDF" w:rsidRPr="00F77DEC" w:rsidRDefault="00D92EDF" w:rsidP="00D92EDF">
      <w:pPr>
        <w:ind w:left="480"/>
        <w:jc w:val="right"/>
        <w:rPr>
          <w:rFonts w:ascii="Arial" w:eastAsia="宋体" w:hAnsi="Arial" w:cs="Times New Roman"/>
          <w:kern w:val="0"/>
          <w:sz w:val="30"/>
          <w:szCs w:val="28"/>
        </w:rPr>
      </w:pPr>
      <w:r w:rsidRPr="00F77DEC">
        <w:rPr>
          <w:rFonts w:ascii="Arial" w:eastAsia="宋体" w:hAnsi="Arial" w:cs="Times New Roman"/>
          <w:kern w:val="0"/>
          <w:sz w:val="30"/>
          <w:szCs w:val="28"/>
        </w:rPr>
        <w:t>20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20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年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5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月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15</w:t>
      </w:r>
      <w:r w:rsidRPr="00F77DEC">
        <w:rPr>
          <w:rFonts w:ascii="Arial" w:eastAsia="宋体" w:hAnsi="Arial" w:cs="Times New Roman" w:hint="eastAsia"/>
          <w:kern w:val="0"/>
          <w:sz w:val="30"/>
          <w:szCs w:val="28"/>
        </w:rPr>
        <w:t>日</w:t>
      </w:r>
    </w:p>
    <w:p w:rsidR="00953F57" w:rsidRPr="00F77DEC" w:rsidRDefault="00953F57" w:rsidP="00C96CE9">
      <w:pPr>
        <w:ind w:left="480"/>
        <w:jc w:val="right"/>
        <w:rPr>
          <w:rFonts w:ascii="Arial" w:eastAsia="宋体" w:hAnsi="Arial" w:cs="Times New Roman"/>
          <w:kern w:val="0"/>
          <w:sz w:val="30"/>
          <w:szCs w:val="28"/>
        </w:rPr>
      </w:pPr>
    </w:p>
    <w:p w:rsidR="00D92EDF" w:rsidRDefault="00D92EDF" w:rsidP="00C96CE9">
      <w:pPr>
        <w:ind w:left="480"/>
        <w:jc w:val="right"/>
        <w:rPr>
          <w:rFonts w:ascii="宋体" w:eastAsia="宋体" w:hAnsi="宋体" w:cs="Arial"/>
          <w:kern w:val="0"/>
          <w:sz w:val="28"/>
          <w:szCs w:val="28"/>
        </w:rPr>
      </w:pPr>
    </w:p>
    <w:p w:rsidR="00D92EDF" w:rsidRPr="005624F2" w:rsidRDefault="00D92EDF" w:rsidP="00C96CE9">
      <w:pPr>
        <w:ind w:left="480"/>
        <w:jc w:val="right"/>
        <w:rPr>
          <w:rFonts w:ascii="宋体" w:eastAsia="宋体" w:hAnsi="宋体" w:cs="Arial"/>
          <w:kern w:val="0"/>
          <w:sz w:val="28"/>
          <w:szCs w:val="28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6931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9E419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4F7F2E">
        <w:rPr>
          <w:rFonts w:ascii="仿宋_GB2312" w:eastAsia="仿宋_GB2312" w:hAnsi="Times New Roman" w:cs="Times New Roman"/>
          <w:sz w:val="28"/>
          <w:szCs w:val="28"/>
        </w:rPr>
        <w:t>5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5624F2">
        <w:rPr>
          <w:rFonts w:ascii="仿宋_GB2312" w:eastAsia="仿宋_GB2312" w:hAnsi="Times New Roman" w:cs="Times New Roman"/>
          <w:sz w:val="28"/>
          <w:szCs w:val="28"/>
        </w:rPr>
        <w:t>15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377" w:rsidRDefault="00D07377" w:rsidP="000156AB">
      <w:r>
        <w:separator/>
      </w:r>
    </w:p>
  </w:endnote>
  <w:endnote w:type="continuationSeparator" w:id="0">
    <w:p w:rsidR="00D07377" w:rsidRDefault="00D07377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377" w:rsidRDefault="00D07377" w:rsidP="000156AB">
      <w:r>
        <w:separator/>
      </w:r>
    </w:p>
  </w:footnote>
  <w:footnote w:type="continuationSeparator" w:id="0">
    <w:p w:rsidR="00D07377" w:rsidRDefault="00D07377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1CB2"/>
    <w:rsid w:val="000156AB"/>
    <w:rsid w:val="000170BF"/>
    <w:rsid w:val="00021695"/>
    <w:rsid w:val="00021A81"/>
    <w:rsid w:val="0003197D"/>
    <w:rsid w:val="00061EF6"/>
    <w:rsid w:val="00093C16"/>
    <w:rsid w:val="000B0839"/>
    <w:rsid w:val="000C79B9"/>
    <w:rsid w:val="000D3175"/>
    <w:rsid w:val="000F7F5A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0C78"/>
    <w:rsid w:val="001A75F6"/>
    <w:rsid w:val="001B35FC"/>
    <w:rsid w:val="001C550A"/>
    <w:rsid w:val="001D3553"/>
    <w:rsid w:val="001D4B87"/>
    <w:rsid w:val="001F7403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6618"/>
    <w:rsid w:val="002E398D"/>
    <w:rsid w:val="002E7DB2"/>
    <w:rsid w:val="00300FA9"/>
    <w:rsid w:val="00347D90"/>
    <w:rsid w:val="0035466C"/>
    <w:rsid w:val="00371A56"/>
    <w:rsid w:val="003A4138"/>
    <w:rsid w:val="003A575B"/>
    <w:rsid w:val="003B2E68"/>
    <w:rsid w:val="003B69FF"/>
    <w:rsid w:val="003D591C"/>
    <w:rsid w:val="00417892"/>
    <w:rsid w:val="00453DAB"/>
    <w:rsid w:val="0045437F"/>
    <w:rsid w:val="0047677C"/>
    <w:rsid w:val="004833E1"/>
    <w:rsid w:val="004A52F8"/>
    <w:rsid w:val="004C3C9E"/>
    <w:rsid w:val="004D5880"/>
    <w:rsid w:val="004D60BF"/>
    <w:rsid w:val="004E04C9"/>
    <w:rsid w:val="004E2A01"/>
    <w:rsid w:val="004E3A5A"/>
    <w:rsid w:val="004F7F2E"/>
    <w:rsid w:val="0051396C"/>
    <w:rsid w:val="0052456F"/>
    <w:rsid w:val="00532C8D"/>
    <w:rsid w:val="0054300A"/>
    <w:rsid w:val="005624F2"/>
    <w:rsid w:val="005722C3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710005"/>
    <w:rsid w:val="007238CF"/>
    <w:rsid w:val="00730DAE"/>
    <w:rsid w:val="00737658"/>
    <w:rsid w:val="00745A98"/>
    <w:rsid w:val="00750A02"/>
    <w:rsid w:val="00767708"/>
    <w:rsid w:val="007716D4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203C1"/>
    <w:rsid w:val="0084320E"/>
    <w:rsid w:val="0084524D"/>
    <w:rsid w:val="008627BF"/>
    <w:rsid w:val="008647F1"/>
    <w:rsid w:val="00865DD9"/>
    <w:rsid w:val="00880FB6"/>
    <w:rsid w:val="008845D3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657BF"/>
    <w:rsid w:val="009767A5"/>
    <w:rsid w:val="00984D06"/>
    <w:rsid w:val="00992EF0"/>
    <w:rsid w:val="009C2B89"/>
    <w:rsid w:val="009C415F"/>
    <w:rsid w:val="00A22401"/>
    <w:rsid w:val="00A44655"/>
    <w:rsid w:val="00A55480"/>
    <w:rsid w:val="00A55740"/>
    <w:rsid w:val="00A650D7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11BB0"/>
    <w:rsid w:val="00B26FAE"/>
    <w:rsid w:val="00B346AD"/>
    <w:rsid w:val="00B42CED"/>
    <w:rsid w:val="00B5125B"/>
    <w:rsid w:val="00B539C4"/>
    <w:rsid w:val="00B57A38"/>
    <w:rsid w:val="00B66796"/>
    <w:rsid w:val="00B66D4B"/>
    <w:rsid w:val="00B765CB"/>
    <w:rsid w:val="00BA7F47"/>
    <w:rsid w:val="00BB0BC9"/>
    <w:rsid w:val="00BB30AC"/>
    <w:rsid w:val="00BB5F62"/>
    <w:rsid w:val="00BD7C6E"/>
    <w:rsid w:val="00BE478E"/>
    <w:rsid w:val="00BF3A1C"/>
    <w:rsid w:val="00C14D5E"/>
    <w:rsid w:val="00C224F7"/>
    <w:rsid w:val="00C37198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07377"/>
    <w:rsid w:val="00D12C2F"/>
    <w:rsid w:val="00D25726"/>
    <w:rsid w:val="00D279FC"/>
    <w:rsid w:val="00D33467"/>
    <w:rsid w:val="00D41CB9"/>
    <w:rsid w:val="00D60311"/>
    <w:rsid w:val="00D6364C"/>
    <w:rsid w:val="00D673FC"/>
    <w:rsid w:val="00D8748D"/>
    <w:rsid w:val="00D92EDF"/>
    <w:rsid w:val="00D931CB"/>
    <w:rsid w:val="00DB5E8C"/>
    <w:rsid w:val="00DC09D9"/>
    <w:rsid w:val="00DD44A5"/>
    <w:rsid w:val="00DD5479"/>
    <w:rsid w:val="00DE07E5"/>
    <w:rsid w:val="00DE76DB"/>
    <w:rsid w:val="00DE7E5B"/>
    <w:rsid w:val="00DE7FCC"/>
    <w:rsid w:val="00E122F6"/>
    <w:rsid w:val="00E30F13"/>
    <w:rsid w:val="00E32E2C"/>
    <w:rsid w:val="00E45BD0"/>
    <w:rsid w:val="00E54379"/>
    <w:rsid w:val="00E611A6"/>
    <w:rsid w:val="00E63551"/>
    <w:rsid w:val="00E6512A"/>
    <w:rsid w:val="00E7403B"/>
    <w:rsid w:val="00EA7C66"/>
    <w:rsid w:val="00EC0E64"/>
    <w:rsid w:val="00ED7873"/>
    <w:rsid w:val="00EF5E20"/>
    <w:rsid w:val="00EF6E74"/>
    <w:rsid w:val="00F01ADB"/>
    <w:rsid w:val="00F131ED"/>
    <w:rsid w:val="00F3031C"/>
    <w:rsid w:val="00F36BE6"/>
    <w:rsid w:val="00F450A0"/>
    <w:rsid w:val="00F516AB"/>
    <w:rsid w:val="00F67030"/>
    <w:rsid w:val="00F77DEC"/>
    <w:rsid w:val="00F828DA"/>
    <w:rsid w:val="00FB11B4"/>
    <w:rsid w:val="00FD41E5"/>
    <w:rsid w:val="00FF1CB0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DFC5C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F7F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99C0-FFAD-4B9F-8CC6-72DD179A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162</cp:revision>
  <cp:lastPrinted>2020-04-28T03:09:00Z</cp:lastPrinted>
  <dcterms:created xsi:type="dcterms:W3CDTF">2013-12-04T00:30:00Z</dcterms:created>
  <dcterms:modified xsi:type="dcterms:W3CDTF">2020-06-03T08:23:00Z</dcterms:modified>
</cp:coreProperties>
</file>