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CFE6" w14:textId="77777777" w:rsidR="00D12911" w:rsidRDefault="00D12911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 w:rsidRPr="00D12911">
        <w:rPr>
          <w:rFonts w:ascii="黑体" w:eastAsia="黑体" w:hAnsi="黑体" w:hint="eastAsia"/>
          <w:b/>
          <w:bCs/>
          <w:sz w:val="22"/>
          <w:szCs w:val="24"/>
        </w:rPr>
        <w:t>上海理工大学2019 年度员工商业保险</w:t>
      </w:r>
      <w:r>
        <w:rPr>
          <w:rFonts w:ascii="黑体" w:eastAsia="黑体" w:hAnsi="黑体" w:hint="eastAsia"/>
          <w:b/>
          <w:bCs/>
          <w:sz w:val="22"/>
          <w:szCs w:val="24"/>
        </w:rPr>
        <w:t>（工会门急诊补充保险）</w:t>
      </w:r>
    </w:p>
    <w:p w14:paraId="60D0B212" w14:textId="39B27171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黑体" w:eastAsia="黑体" w:hAnsi="黑体" w:hint="eastAsia"/>
          <w:b/>
          <w:bCs/>
          <w:sz w:val="22"/>
          <w:szCs w:val="24"/>
        </w:rPr>
        <w:t>新华人寿保险公司手机在线理赔</w:t>
      </w:r>
    </w:p>
    <w:p w14:paraId="414C3421" w14:textId="77777777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黑体" w:eastAsia="黑体" w:hAnsi="黑体" w:hint="eastAsia"/>
          <w:b/>
          <w:bCs/>
          <w:sz w:val="22"/>
          <w:szCs w:val="24"/>
        </w:rPr>
        <w:t xml:space="preserve">      1、移动端理赔流程</w:t>
      </w:r>
    </w:p>
    <w:p w14:paraId="2378BCCB" w14:textId="524B693A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黑体" w:eastAsia="黑体" w:hAnsi="黑体" w:hint="eastAsia"/>
          <w:b/>
          <w:bCs/>
          <w:sz w:val="22"/>
          <w:szCs w:val="24"/>
        </w:rPr>
        <w:t xml:space="preserve">         </w:t>
      </w:r>
      <w:r>
        <w:rPr>
          <w:rFonts w:ascii="Century Gothic" w:eastAsia="幼圆" w:hAnsi="Century Gothic" w:cs="黑体"/>
          <w:noProof/>
        </w:rPr>
        <w:drawing>
          <wp:inline distT="0" distB="0" distL="0" distR="0" wp14:anchorId="5137691B" wp14:editId="4D0BA1CF">
            <wp:extent cx="5274310" cy="29737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F7350" w14:textId="26ED9B1B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Century Gothic" w:eastAsia="幼圆" w:hAnsi="Century Gothic" w:cs="黑体"/>
          <w:noProof/>
        </w:rPr>
        <w:drawing>
          <wp:inline distT="0" distB="0" distL="0" distR="0" wp14:anchorId="55C807CD" wp14:editId="76794F8C">
            <wp:extent cx="5274310" cy="29698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AD6A" w14:textId="3CC5B2F1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Century Gothic" w:eastAsia="幼圆" w:hAnsi="Century Gothic" w:cs="黑体"/>
          <w:noProof/>
        </w:rPr>
        <w:lastRenderedPageBreak/>
        <w:drawing>
          <wp:inline distT="0" distB="0" distL="0" distR="0" wp14:anchorId="75E018E3" wp14:editId="34766321">
            <wp:extent cx="5274310" cy="29679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7DD1" w14:textId="77777777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</w:p>
    <w:p w14:paraId="63CBB19C" w14:textId="58279AC4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Century Gothic" w:eastAsia="幼圆" w:hAnsi="Century Gothic" w:cs="黑体"/>
          <w:noProof/>
        </w:rPr>
        <w:drawing>
          <wp:inline distT="0" distB="0" distL="0" distR="0" wp14:anchorId="3127BF5E" wp14:editId="080237E9">
            <wp:extent cx="5274310" cy="29705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A316" w14:textId="77777777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</w:p>
    <w:p w14:paraId="27A24EAC" w14:textId="77777777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</w:p>
    <w:p w14:paraId="18B0E17F" w14:textId="77777777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</w:p>
    <w:p w14:paraId="54C783C7" w14:textId="59CCBE63" w:rsidR="00C747B3" w:rsidRDefault="00C747B3" w:rsidP="00C747B3">
      <w:pPr>
        <w:widowControl/>
        <w:rPr>
          <w:rFonts w:ascii="黑体" w:eastAsia="黑体" w:hAnsi="黑体"/>
          <w:b/>
          <w:bCs/>
          <w:sz w:val="22"/>
          <w:szCs w:val="24"/>
        </w:rPr>
      </w:pPr>
      <w:r>
        <w:rPr>
          <w:rFonts w:ascii="Century Gothic" w:eastAsia="幼圆" w:hAnsi="Century Gothic" w:cs="黑体"/>
          <w:noProof/>
        </w:rPr>
        <w:lastRenderedPageBreak/>
        <w:drawing>
          <wp:inline distT="0" distB="0" distL="0" distR="0" wp14:anchorId="5CE53936" wp14:editId="26E928BE">
            <wp:extent cx="5274310" cy="29686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73D71" w14:textId="77777777" w:rsidR="00C747B3" w:rsidRDefault="00C747B3" w:rsidP="00C747B3">
      <w:pPr>
        <w:rPr>
          <w:rFonts w:ascii="黑体" w:eastAsia="黑体" w:hAnsi="黑体"/>
          <w:b/>
          <w:bCs/>
          <w:sz w:val="22"/>
          <w:szCs w:val="24"/>
        </w:rPr>
      </w:pPr>
    </w:p>
    <w:p w14:paraId="679CCADA" w14:textId="77777777" w:rsidR="00C747B3" w:rsidRDefault="00C747B3" w:rsidP="00C747B3">
      <w:pPr>
        <w:rPr>
          <w:rFonts w:ascii="黑体" w:eastAsia="黑体" w:hAnsi="黑体"/>
          <w:b/>
          <w:bCs/>
          <w:sz w:val="22"/>
          <w:szCs w:val="24"/>
        </w:rPr>
      </w:pPr>
    </w:p>
    <w:p w14:paraId="051EECE2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b/>
          <w:bCs/>
          <w:sz w:val="22"/>
        </w:rPr>
      </w:pPr>
    </w:p>
    <w:p w14:paraId="0E724BDB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b/>
          <w:bCs/>
          <w:sz w:val="22"/>
        </w:rPr>
      </w:pPr>
      <w:r>
        <w:rPr>
          <w:rFonts w:ascii="仿宋_GB2312" w:eastAsia="仿宋_GB2312" w:hAnsi="宋体" w:hint="eastAsia"/>
          <w:b/>
          <w:bCs/>
          <w:sz w:val="22"/>
        </w:rPr>
        <w:t>2、常见问题</w:t>
      </w:r>
    </w:p>
    <w:p w14:paraId="51D4DB69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sz w:val="22"/>
        </w:rPr>
      </w:pPr>
      <w:r>
        <w:rPr>
          <w:rFonts w:ascii="仿宋_GB2312" w:eastAsia="仿宋_GB2312" w:hAnsi="宋体" w:hint="eastAsia"/>
          <w:sz w:val="22"/>
        </w:rPr>
        <w:t>1、如果出现问题件，处理流程是什么？</w:t>
      </w:r>
    </w:p>
    <w:p w14:paraId="6DF23697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72"/>
        <w:rPr>
          <w:rFonts w:ascii="仿宋_GB2312" w:eastAsia="仿宋_GB2312" w:hAnsi="宋体"/>
          <w:sz w:val="22"/>
        </w:rPr>
      </w:pPr>
      <w:r>
        <w:rPr>
          <w:rFonts w:hint="eastAsia"/>
        </w:rPr>
        <w:t xml:space="preserve">  </w:t>
      </w:r>
      <w:r>
        <w:rPr>
          <w:rFonts w:ascii="仿宋_GB2312" w:eastAsia="仿宋_GB2312" w:hAnsi="宋体" w:hint="eastAsia"/>
          <w:sz w:val="22"/>
        </w:rPr>
        <w:t xml:space="preserve"> 整份材料都没有提供病历平台会短信通知补齐，若赔案中部分就诊日期无病历的不会做问题件处理，在结案的赔付通知书中会告知拒付理由。</w:t>
      </w:r>
    </w:p>
    <w:p w14:paraId="00252AD5" w14:textId="77777777" w:rsidR="00C747B3" w:rsidRDefault="00C747B3" w:rsidP="00C747B3">
      <w:pPr>
        <w:tabs>
          <w:tab w:val="left" w:pos="720"/>
        </w:tabs>
        <w:spacing w:line="360" w:lineRule="auto"/>
        <w:rPr>
          <w:rFonts w:ascii="仿宋_GB2312" w:eastAsia="仿宋_GB2312" w:hAnsi="宋体"/>
          <w:sz w:val="22"/>
        </w:rPr>
      </w:pPr>
      <w:r>
        <w:rPr>
          <w:rFonts w:ascii="仿宋_GB2312" w:eastAsia="仿宋_GB2312" w:hAnsi="宋体" w:hint="eastAsia"/>
          <w:sz w:val="22"/>
        </w:rPr>
        <w:t xml:space="preserve">　  2、理赔时间范围是什么？</w:t>
      </w:r>
    </w:p>
    <w:p w14:paraId="2CE8D71E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sz w:val="22"/>
        </w:rPr>
      </w:pPr>
      <w:r>
        <w:rPr>
          <w:rFonts w:ascii="仿宋_GB2312" w:eastAsia="仿宋_GB2312" w:hAnsi="宋体" w:hint="eastAsia"/>
          <w:sz w:val="22"/>
        </w:rPr>
        <w:t xml:space="preserve">　　发票日期在保单年度内。</w:t>
      </w:r>
    </w:p>
    <w:p w14:paraId="7B91540A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sz w:val="22"/>
        </w:rPr>
      </w:pPr>
      <w:r>
        <w:rPr>
          <w:rFonts w:ascii="仿宋_GB2312" w:eastAsia="仿宋_GB2312" w:hAnsi="宋体" w:hint="eastAsia"/>
          <w:sz w:val="22"/>
        </w:rPr>
        <w:t>3、移动端理赔有无限额和其他限制？</w:t>
      </w:r>
    </w:p>
    <w:p w14:paraId="1152106D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sz w:val="22"/>
        </w:rPr>
      </w:pPr>
      <w:r>
        <w:rPr>
          <w:rFonts w:ascii="仿宋_GB2312" w:eastAsia="仿宋_GB2312" w:hAnsi="宋体" w:hint="eastAsia"/>
          <w:sz w:val="22"/>
        </w:rPr>
        <w:t xml:space="preserve">   </w:t>
      </w:r>
      <w:r>
        <w:rPr>
          <w:rFonts w:ascii="仿宋_GB2312" w:eastAsia="仿宋_GB2312" w:hAnsi="宋体" w:hint="eastAsia"/>
          <w:b/>
          <w:bCs/>
          <w:sz w:val="22"/>
        </w:rPr>
        <w:t xml:space="preserve"> 有</w:t>
      </w:r>
      <w:r>
        <w:rPr>
          <w:rFonts w:ascii="仿宋_GB2312" w:eastAsia="仿宋_GB2312" w:hAnsi="宋体" w:hint="eastAsia"/>
          <w:sz w:val="22"/>
        </w:rPr>
        <w:t>（发票内医保范围内的金额要超过600元才能扫描上传），门诊单次申请发票总金额上限为2000元。</w:t>
      </w:r>
      <w:r>
        <w:rPr>
          <w:rFonts w:ascii="仿宋_GB2312" w:eastAsia="仿宋_GB2312" w:hAnsi="宋体" w:hint="eastAsia"/>
          <w:color w:val="000000"/>
          <w:sz w:val="22"/>
        </w:rPr>
        <w:t>（注：挂号费不能报销）</w:t>
      </w:r>
    </w:p>
    <w:p w14:paraId="144CE4C4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</w:pPr>
      <w:r>
        <w:rPr>
          <w:rFonts w:ascii="仿宋_GB2312" w:eastAsia="仿宋_GB2312" w:hAnsi="宋体" w:hint="eastAsia"/>
          <w:sz w:val="22"/>
        </w:rPr>
        <w:t xml:space="preserve">　　</w:t>
      </w:r>
      <w:r>
        <w:rPr>
          <w:rFonts w:hint="eastAsia"/>
          <w:b/>
          <w:bCs/>
        </w:rPr>
        <w:t>住院发票仍以线下传统方式提交</w:t>
      </w:r>
      <w:r>
        <w:rPr>
          <w:rFonts w:hint="eastAsia"/>
        </w:rPr>
        <w:t>。</w:t>
      </w:r>
    </w:p>
    <w:p w14:paraId="64F0EB66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 w:val="22"/>
        </w:rPr>
        <w:t>4、为什么要进行物理件抽检？</w:t>
      </w:r>
    </w:p>
    <w:p w14:paraId="09838ABD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 w:val="22"/>
        </w:rPr>
        <w:t>为保证在线理赔功能使用初期平稳有序、保证业务品质、符合行业及运营监管要求，</w:t>
      </w:r>
      <w:r>
        <w:rPr>
          <w:rFonts w:ascii="仿宋_GB2312" w:eastAsia="仿宋_GB2312" w:hAnsi="宋体" w:hint="eastAsia"/>
          <w:color w:val="000000"/>
          <w:sz w:val="22"/>
        </w:rPr>
        <w:lastRenderedPageBreak/>
        <w:t>我司将进行5%左右的物理件抽检。</w:t>
      </w:r>
      <w:r>
        <w:rPr>
          <w:rFonts w:hint="eastAsia"/>
          <w:b/>
          <w:bCs/>
        </w:rPr>
        <w:t>（如被物理件抽查，会以短信方式通知）</w:t>
      </w:r>
      <w:r>
        <w:rPr>
          <w:rFonts w:ascii="仿宋_GB2312" w:eastAsia="仿宋_GB2312" w:hAnsi="宋体" w:hint="eastAsia"/>
          <w:color w:val="000000"/>
          <w:sz w:val="22"/>
        </w:rPr>
        <w:t>。</w:t>
      </w:r>
    </w:p>
    <w:p w14:paraId="166E309B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89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 w:val="22"/>
        </w:rPr>
        <w:t>5、联系电话：</w:t>
      </w:r>
    </w:p>
    <w:p w14:paraId="1C4B69C6" w14:textId="77777777" w:rsidR="00C747B3" w:rsidRDefault="00C747B3" w:rsidP="00C747B3">
      <w:pPr>
        <w:tabs>
          <w:tab w:val="left" w:pos="720"/>
        </w:tabs>
        <w:spacing w:line="360" w:lineRule="auto"/>
        <w:ind w:firstLineChars="177" w:firstLine="372"/>
        <w:rPr>
          <w:rFonts w:ascii="仿宋_GB2312" w:eastAsia="仿宋_GB2312" w:hAnsi="宋体"/>
          <w:color w:val="000000"/>
          <w:sz w:val="22"/>
        </w:rPr>
      </w:pPr>
      <w:r>
        <w:rPr>
          <w:rFonts w:hint="eastAsia"/>
        </w:rPr>
        <w:t xml:space="preserve"> </w:t>
      </w:r>
      <w:r>
        <w:rPr>
          <w:rFonts w:hint="eastAsia"/>
        </w:rPr>
        <w:t>如有不明事项，可拨打咨询电话：</w:t>
      </w:r>
      <w:r>
        <w:rPr>
          <w:rFonts w:hint="eastAsia"/>
        </w:rPr>
        <w:t>4006812018</w:t>
      </w:r>
    </w:p>
    <w:p w14:paraId="1425A501" w14:textId="77777777" w:rsidR="00C747B3" w:rsidRDefault="00C747B3" w:rsidP="00C747B3">
      <w:pPr>
        <w:rPr>
          <w:rFonts w:ascii="黑体" w:eastAsia="黑体" w:hAnsi="黑体"/>
          <w:b/>
          <w:bCs/>
          <w:sz w:val="22"/>
          <w:szCs w:val="24"/>
        </w:rPr>
      </w:pPr>
    </w:p>
    <w:p w14:paraId="0337C333" w14:textId="77777777" w:rsidR="00C747B3" w:rsidRDefault="00C747B3" w:rsidP="00C747B3">
      <w:pPr>
        <w:rPr>
          <w:rFonts w:ascii="幼圆" w:eastAsia="幼圆" w:hAnsi="幼圆" w:cs="幼圆"/>
          <w:bCs/>
          <w:kern w:val="0"/>
          <w:szCs w:val="18"/>
        </w:rPr>
      </w:pPr>
      <w:r>
        <w:rPr>
          <w:rFonts w:ascii="黑体" w:eastAsia="黑体" w:hAnsi="黑体" w:hint="eastAsia"/>
          <w:b/>
          <w:bCs/>
          <w:sz w:val="22"/>
          <w:szCs w:val="24"/>
        </w:rPr>
        <w:t>3、赔付告知（手机）：</w:t>
      </w:r>
      <w:r>
        <w:rPr>
          <w:rFonts w:ascii="幼圆" w:eastAsia="幼圆" w:hAnsi="幼圆" w:cs="幼圆" w:hint="eastAsia"/>
          <w:bCs/>
          <w:kern w:val="0"/>
          <w:szCs w:val="18"/>
        </w:rPr>
        <w:t>凡保险合同签订时提供手机号码的被保险人，新华保险将提供理赔金额到账的短信提示服务。</w:t>
      </w:r>
    </w:p>
    <w:p w14:paraId="0D4838F9" w14:textId="179650AE" w:rsidR="00C747B3" w:rsidRDefault="00C747B3" w:rsidP="00C747B3">
      <w:pPr>
        <w:spacing w:line="360" w:lineRule="auto"/>
        <w:rPr>
          <w:rFonts w:ascii="幼圆" w:eastAsia="幼圆" w:hAnsi="幼圆" w:cs="幼圆"/>
          <w:bCs/>
          <w:kern w:val="0"/>
          <w:szCs w:val="18"/>
        </w:rPr>
      </w:pPr>
      <w:r>
        <w:rPr>
          <w:rFonts w:ascii="幼圆" w:eastAsia="幼圆" w:hAnsi="幼圆" w:cs="幼圆" w:hint="eastAsia"/>
          <w:bCs/>
          <w:kern w:val="0"/>
          <w:szCs w:val="18"/>
        </w:rPr>
        <w:t>◎短信通知：当理赔结束后，新华保险将会以手机短信方式通知相关员工理赔的结论、理赔金额和查收提醒。</w:t>
      </w:r>
    </w:p>
    <w:p w14:paraId="26BE59D7" w14:textId="77777777" w:rsidR="00C747B3" w:rsidRDefault="00C747B3" w:rsidP="00C747B3">
      <w:pPr>
        <w:spacing w:line="360" w:lineRule="auto"/>
        <w:rPr>
          <w:rFonts w:ascii="幼圆" w:eastAsia="幼圆" w:hAnsi="幼圆" w:cs="幼圆"/>
          <w:bCs/>
          <w:kern w:val="0"/>
          <w:szCs w:val="18"/>
        </w:rPr>
      </w:pPr>
    </w:p>
    <w:p w14:paraId="6F894C1C" w14:textId="77777777" w:rsidR="00C747B3" w:rsidRDefault="00C747B3" w:rsidP="00C747B3">
      <w:pPr>
        <w:spacing w:line="360" w:lineRule="auto"/>
        <w:rPr>
          <w:rFonts w:ascii="幼圆" w:eastAsia="幼圆" w:hAnsi="幼圆" w:cs="幼圆"/>
          <w:bCs/>
          <w:kern w:val="0"/>
          <w:szCs w:val="18"/>
        </w:rPr>
      </w:pPr>
      <w:r>
        <w:rPr>
          <w:rFonts w:ascii="幼圆" w:eastAsia="幼圆" w:hAnsi="幼圆" w:cs="幼圆" w:hint="eastAsia"/>
          <w:bCs/>
          <w:kern w:val="0"/>
          <w:szCs w:val="18"/>
        </w:rPr>
        <w:t>赔付短信模板：</w:t>
      </w:r>
    </w:p>
    <w:p w14:paraId="0139B5EA" w14:textId="77777777" w:rsidR="00C747B3" w:rsidRDefault="00C747B3" w:rsidP="00C747B3">
      <w:pPr>
        <w:spacing w:line="360" w:lineRule="auto"/>
        <w:rPr>
          <w:rFonts w:ascii="幼圆" w:eastAsia="幼圆" w:hAnsi="幼圆" w:cs="幼圆"/>
          <w:bCs/>
          <w:kern w:val="0"/>
          <w:szCs w:val="18"/>
        </w:rPr>
      </w:pPr>
      <w:r>
        <w:rPr>
          <w:rFonts w:ascii="幼圆" w:eastAsia="幼圆" w:hAnsi="幼圆" w:cs="幼圆" w:hint="eastAsia"/>
          <w:bCs/>
          <w:kern w:val="0"/>
          <w:szCs w:val="18"/>
        </w:rPr>
        <w:t>尊敬的客户****,您所提交的理赔申请已批准，赔付金额为***元，将于近期</w:t>
      </w:r>
    </w:p>
    <w:p w14:paraId="1E0484E3" w14:textId="77777777" w:rsidR="00C747B3" w:rsidRDefault="00C747B3" w:rsidP="00C747B3">
      <w:pPr>
        <w:spacing w:line="360" w:lineRule="auto"/>
        <w:rPr>
          <w:rFonts w:ascii="幼圆" w:eastAsia="幼圆" w:hAnsi="幼圆" w:cs="幼圆"/>
          <w:bCs/>
          <w:kern w:val="0"/>
          <w:szCs w:val="18"/>
        </w:rPr>
      </w:pPr>
      <w:r>
        <w:rPr>
          <w:rFonts w:ascii="幼圆" w:eastAsia="幼圆" w:hAnsi="幼圆" w:cs="幼圆" w:hint="eastAsia"/>
          <w:bCs/>
          <w:kern w:val="0"/>
          <w:szCs w:val="18"/>
        </w:rPr>
        <w:t xml:space="preserve">转入您**银行，尾号是****的账户中，请查收。【新华保险】 </w:t>
      </w:r>
    </w:p>
    <w:p w14:paraId="2E6AB8C2" w14:textId="77777777" w:rsidR="00C747B3" w:rsidRDefault="00C747B3" w:rsidP="00C747B3">
      <w:pPr>
        <w:spacing w:line="360" w:lineRule="auto"/>
        <w:rPr>
          <w:rFonts w:ascii="幼圆" w:eastAsia="幼圆" w:hAnsi="幼圆" w:cs="幼圆"/>
          <w:bCs/>
          <w:kern w:val="0"/>
          <w:szCs w:val="18"/>
        </w:rPr>
      </w:pPr>
    </w:p>
    <w:p w14:paraId="78B1AED8" w14:textId="77777777" w:rsidR="007529D9" w:rsidRDefault="007529D9"/>
    <w:p w14:paraId="75B92867" w14:textId="77777777" w:rsidR="007529D9" w:rsidRDefault="007529D9"/>
    <w:p w14:paraId="25C181C0" w14:textId="77777777" w:rsidR="007529D9" w:rsidRDefault="007529D9"/>
    <w:p w14:paraId="631C4BA9" w14:textId="77777777" w:rsidR="007529D9" w:rsidRDefault="007529D9"/>
    <w:p w14:paraId="4EF84BC9" w14:textId="77777777" w:rsidR="007529D9" w:rsidRDefault="007529D9"/>
    <w:p w14:paraId="1E05FA74" w14:textId="77777777" w:rsidR="007529D9" w:rsidRDefault="007529D9"/>
    <w:p w14:paraId="6F4540A0" w14:textId="77777777" w:rsidR="007529D9" w:rsidRDefault="007529D9"/>
    <w:p w14:paraId="331B10A4" w14:textId="77777777" w:rsidR="007529D9" w:rsidRDefault="007529D9"/>
    <w:p w14:paraId="0CE5523C" w14:textId="77777777" w:rsidR="007529D9" w:rsidRDefault="007529D9"/>
    <w:p w14:paraId="447FED7E" w14:textId="77777777" w:rsidR="007529D9" w:rsidRDefault="007529D9"/>
    <w:p w14:paraId="37870BD7" w14:textId="77777777" w:rsidR="007529D9" w:rsidRDefault="007529D9"/>
    <w:p w14:paraId="29B342D1" w14:textId="77777777" w:rsidR="007529D9" w:rsidRDefault="007529D9"/>
    <w:p w14:paraId="57D7D280" w14:textId="77777777" w:rsidR="007529D9" w:rsidRDefault="007529D9"/>
    <w:p w14:paraId="35984C30" w14:textId="77777777" w:rsidR="007529D9" w:rsidRDefault="007529D9"/>
    <w:p w14:paraId="248B96A3" w14:textId="77777777" w:rsidR="007529D9" w:rsidRDefault="007529D9"/>
    <w:p w14:paraId="2877C766" w14:textId="77777777" w:rsidR="007529D9" w:rsidRDefault="007529D9"/>
    <w:p w14:paraId="4C6FD2A0" w14:textId="77777777" w:rsidR="007529D9" w:rsidRDefault="007529D9"/>
    <w:p w14:paraId="2E1F2563" w14:textId="77777777" w:rsidR="007529D9" w:rsidRDefault="007529D9"/>
    <w:p w14:paraId="5EC2DE79" w14:textId="77777777" w:rsidR="007529D9" w:rsidRDefault="007529D9"/>
    <w:p w14:paraId="78FEB977" w14:textId="77777777" w:rsidR="007529D9" w:rsidRDefault="007529D9"/>
    <w:p w14:paraId="1AB1C20B" w14:textId="77777777" w:rsidR="007529D9" w:rsidRDefault="007529D9"/>
    <w:p w14:paraId="04530CB9" w14:textId="77777777" w:rsidR="007529D9" w:rsidRDefault="007529D9"/>
    <w:p w14:paraId="011BC311" w14:textId="77777777" w:rsidR="007529D9" w:rsidRPr="00A53413" w:rsidRDefault="007529D9" w:rsidP="007529D9">
      <w:r>
        <w:rPr>
          <w:rFonts w:hint="eastAsia"/>
        </w:rPr>
        <w:t>摘自《</w:t>
      </w:r>
      <w:r w:rsidRPr="00A53413">
        <w:t>2019</w:t>
      </w:r>
      <w:r w:rsidRPr="00A53413">
        <w:t>年上海理工大学医疗保险服务手册</w:t>
      </w:r>
      <w:r>
        <w:rPr>
          <w:rFonts w:hint="eastAsia"/>
        </w:rPr>
        <w:t>》</w:t>
      </w:r>
    </w:p>
    <w:p w14:paraId="553E22EC" w14:textId="306DEE13" w:rsidR="00C747B3" w:rsidRDefault="007529D9">
      <w:r>
        <w:rPr>
          <w:rFonts w:ascii="幼圆" w:eastAsia="幼圆" w:hAnsi="幼圆" w:cs="幼圆" w:hint="eastAsia"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BCEA25B" wp14:editId="09770079">
            <wp:simplePos x="0" y="0"/>
            <wp:positionH relativeFrom="margin">
              <wp:posOffset>3569970</wp:posOffset>
            </wp:positionH>
            <wp:positionV relativeFrom="margin">
              <wp:posOffset>3950970</wp:posOffset>
            </wp:positionV>
            <wp:extent cx="2224405" cy="3419475"/>
            <wp:effectExtent l="0" t="0" r="444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47B3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807CC" w14:textId="77777777" w:rsidR="000B6C1A" w:rsidRDefault="000B6C1A" w:rsidP="00C346C2">
      <w:r>
        <w:separator/>
      </w:r>
    </w:p>
  </w:endnote>
  <w:endnote w:type="continuationSeparator" w:id="0">
    <w:p w14:paraId="11BF8314" w14:textId="77777777" w:rsidR="000B6C1A" w:rsidRDefault="000B6C1A" w:rsidP="00C3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2125071"/>
      <w:docPartObj>
        <w:docPartGallery w:val="Page Numbers (Bottom of Page)"/>
        <w:docPartUnique/>
      </w:docPartObj>
    </w:sdtPr>
    <w:sdtContent>
      <w:p w14:paraId="65B6D69C" w14:textId="5A85AA5B" w:rsidR="007529D9" w:rsidRDefault="007529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CE5E00" w14:textId="77777777" w:rsidR="007529D9" w:rsidRDefault="00752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7DF45" w14:textId="77777777" w:rsidR="000B6C1A" w:rsidRDefault="000B6C1A" w:rsidP="00C346C2">
      <w:r>
        <w:separator/>
      </w:r>
    </w:p>
  </w:footnote>
  <w:footnote w:type="continuationSeparator" w:id="0">
    <w:p w14:paraId="3D3B9743" w14:textId="77777777" w:rsidR="000B6C1A" w:rsidRDefault="000B6C1A" w:rsidP="00C3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1417186"/>
      <w:docPartObj>
        <w:docPartGallery w:val="Page Numbers (Top of Page)"/>
        <w:docPartUnique/>
      </w:docPartObj>
    </w:sdtPr>
    <w:sdtEndPr/>
    <w:sdtContent>
      <w:p w14:paraId="34A89CFA" w14:textId="2C266DB5" w:rsidR="00C346C2" w:rsidRDefault="00C346C2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7C1793" w14:textId="77777777" w:rsidR="00C346C2" w:rsidRDefault="00C346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B3"/>
    <w:rsid w:val="000B6C1A"/>
    <w:rsid w:val="007529D9"/>
    <w:rsid w:val="00B5696E"/>
    <w:rsid w:val="00C346C2"/>
    <w:rsid w:val="00C747B3"/>
    <w:rsid w:val="00D1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E40CF"/>
  <w15:chartTrackingRefBased/>
  <w15:docId w15:val="{1CF261EB-406A-4E07-8843-204BB72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747B3"/>
    <w:pPr>
      <w:widowControl/>
      <w:spacing w:after="160" w:line="240" w:lineRule="exact"/>
      <w:jc w:val="left"/>
    </w:pPr>
  </w:style>
  <w:style w:type="paragraph" w:styleId="a3">
    <w:name w:val="header"/>
    <w:basedOn w:val="a"/>
    <w:link w:val="a4"/>
    <w:uiPriority w:val="99"/>
    <w:unhideWhenUsed/>
    <w:rsid w:val="00C3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6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6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2020-07-07T06:01:00Z</dcterms:created>
  <dcterms:modified xsi:type="dcterms:W3CDTF">2020-07-20T07:39:00Z</dcterms:modified>
</cp:coreProperties>
</file>