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970B64" w:rsidRPr="00970B64" w:rsidTr="00970B64">
        <w:trPr>
          <w:trHeight w:val="780"/>
          <w:tblCellSpacing w:w="0" w:type="dxa"/>
          <w:jc w:val="center"/>
        </w:trPr>
        <w:tc>
          <w:tcPr>
            <w:tcW w:w="0" w:type="auto"/>
            <w:vAlign w:val="center"/>
            <w:hideMark/>
          </w:tcPr>
          <w:p w:rsidR="00970B64" w:rsidRPr="00970B64" w:rsidRDefault="00970B64" w:rsidP="00970B64">
            <w:pPr>
              <w:widowControl/>
              <w:jc w:val="center"/>
              <w:rPr>
                <w:rFonts w:ascii="ˎ̥" w:eastAsia="宋体" w:hAnsi="ˎ̥" w:cs="宋体"/>
                <w:color w:val="FF0000"/>
                <w:kern w:val="0"/>
                <w:sz w:val="52"/>
                <w:szCs w:val="52"/>
              </w:rPr>
            </w:pPr>
            <w:r w:rsidRPr="00970B64">
              <w:rPr>
                <w:rFonts w:ascii="ˎ̥" w:eastAsia="宋体" w:hAnsi="ˎ̥" w:cs="宋体"/>
                <w:b/>
                <w:bCs/>
                <w:color w:val="FF0000"/>
                <w:kern w:val="0"/>
                <w:sz w:val="52"/>
                <w:szCs w:val="52"/>
              </w:rPr>
              <w:t>国家外国专家局文件</w:t>
            </w:r>
          </w:p>
        </w:tc>
      </w:tr>
      <w:tr w:rsidR="00970B64" w:rsidRPr="00970B64" w:rsidTr="00970B64">
        <w:trPr>
          <w:trHeight w:val="525"/>
          <w:tblCellSpacing w:w="0" w:type="dxa"/>
          <w:jc w:val="center"/>
        </w:trPr>
        <w:tc>
          <w:tcPr>
            <w:tcW w:w="0" w:type="auto"/>
            <w:vAlign w:val="center"/>
            <w:hideMark/>
          </w:tcPr>
          <w:p w:rsidR="00970B64" w:rsidRPr="00970B64" w:rsidRDefault="00970B64" w:rsidP="00970B64">
            <w:pPr>
              <w:widowControl/>
              <w:jc w:val="center"/>
              <w:rPr>
                <w:rFonts w:ascii="ˎ̥" w:eastAsia="宋体" w:hAnsi="ˎ̥" w:cs="宋体"/>
                <w:color w:val="000000"/>
                <w:kern w:val="0"/>
                <w:sz w:val="24"/>
                <w:szCs w:val="24"/>
              </w:rPr>
            </w:pPr>
            <w:r w:rsidRPr="00970B64">
              <w:rPr>
                <w:rFonts w:ascii="ˎ̥" w:eastAsia="宋体" w:hAnsi="ˎ̥" w:cs="宋体"/>
                <w:color w:val="000000"/>
                <w:kern w:val="0"/>
                <w:sz w:val="24"/>
                <w:szCs w:val="24"/>
              </w:rPr>
              <w:t>外专发〔</w:t>
            </w:r>
            <w:r w:rsidRPr="00970B64">
              <w:rPr>
                <w:rFonts w:ascii="ˎ̥" w:eastAsia="宋体" w:hAnsi="ˎ̥" w:cs="宋体"/>
                <w:color w:val="000000"/>
                <w:kern w:val="0"/>
                <w:sz w:val="24"/>
                <w:szCs w:val="24"/>
              </w:rPr>
              <w:t>2010</w:t>
            </w:r>
            <w:r w:rsidRPr="00970B64">
              <w:rPr>
                <w:rFonts w:ascii="ˎ̥" w:eastAsia="宋体" w:hAnsi="ˎ̥" w:cs="宋体"/>
                <w:color w:val="000000"/>
                <w:kern w:val="0"/>
                <w:sz w:val="24"/>
                <w:szCs w:val="24"/>
              </w:rPr>
              <w:t>〕</w:t>
            </w:r>
            <w:r w:rsidRPr="00970B64">
              <w:rPr>
                <w:rFonts w:ascii="ˎ̥" w:eastAsia="宋体" w:hAnsi="ˎ̥" w:cs="宋体"/>
                <w:color w:val="000000"/>
                <w:kern w:val="0"/>
                <w:sz w:val="24"/>
                <w:szCs w:val="24"/>
              </w:rPr>
              <w:t>87</w:t>
            </w:r>
            <w:r w:rsidRPr="00970B64">
              <w:rPr>
                <w:rFonts w:ascii="ˎ̥" w:eastAsia="宋体" w:hAnsi="ˎ̥" w:cs="宋体"/>
                <w:color w:val="000000"/>
                <w:kern w:val="0"/>
                <w:sz w:val="24"/>
                <w:szCs w:val="24"/>
              </w:rPr>
              <w:t>号</w:t>
            </w:r>
          </w:p>
        </w:tc>
      </w:tr>
      <w:tr w:rsidR="00970B64" w:rsidRPr="00970B64" w:rsidTr="00970B64">
        <w:trPr>
          <w:trHeight w:val="525"/>
          <w:tblCellSpacing w:w="0" w:type="dxa"/>
          <w:jc w:val="center"/>
        </w:trPr>
        <w:tc>
          <w:tcPr>
            <w:tcW w:w="0" w:type="auto"/>
            <w:vAlign w:val="center"/>
            <w:hideMark/>
          </w:tcPr>
          <w:p w:rsidR="00970B64" w:rsidRPr="00970B64" w:rsidRDefault="00970B64" w:rsidP="00970B64">
            <w:pPr>
              <w:widowControl/>
              <w:jc w:val="left"/>
              <w:rPr>
                <w:rFonts w:ascii="ˎ̥" w:eastAsia="宋体" w:hAnsi="ˎ̥" w:cs="宋体"/>
                <w:color w:val="000000"/>
                <w:kern w:val="0"/>
                <w:sz w:val="22"/>
              </w:rPr>
            </w:pPr>
            <w:r w:rsidRPr="00970B64">
              <w:rPr>
                <w:rFonts w:ascii="ˎ̥" w:eastAsia="宋体" w:hAnsi="ˎ̥" w:cs="宋体"/>
                <w:color w:val="000000"/>
                <w:kern w:val="0"/>
                <w:sz w:val="22"/>
              </w:rPr>
              <w:pict>
                <v:rect id="_x0000_i1025" style="width:0;height:.75pt" o:hralign="center" o:hrstd="t" o:hrnoshade="t" o:hr="t" fillcolor="red" stroked="f"/>
              </w:pict>
            </w:r>
          </w:p>
        </w:tc>
      </w:tr>
      <w:tr w:rsidR="00970B64" w:rsidRPr="00970B64" w:rsidTr="00970B64">
        <w:trPr>
          <w:trHeight w:val="405"/>
          <w:tblCellSpacing w:w="0" w:type="dxa"/>
          <w:jc w:val="center"/>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970B64" w:rsidRPr="00970B64">
              <w:trPr>
                <w:tblCellSpacing w:w="15" w:type="dxa"/>
                <w:jc w:val="center"/>
              </w:trPr>
              <w:tc>
                <w:tcPr>
                  <w:tcW w:w="0" w:type="auto"/>
                  <w:hideMark/>
                </w:tcPr>
                <w:p w:rsidR="00970B64" w:rsidRPr="00970B64" w:rsidRDefault="00970B64" w:rsidP="00970B64">
                  <w:pPr>
                    <w:widowControl/>
                    <w:jc w:val="center"/>
                    <w:rPr>
                      <w:rFonts w:ascii="ˎ̥" w:eastAsia="宋体" w:hAnsi="ˎ̥" w:cs="宋体"/>
                      <w:color w:val="000000"/>
                      <w:kern w:val="0"/>
                      <w:sz w:val="22"/>
                    </w:rPr>
                  </w:pPr>
                  <w:bookmarkStart w:id="0" w:name="_GoBack"/>
                  <w:r w:rsidRPr="00970B64">
                    <w:rPr>
                      <w:rFonts w:ascii="宋体" w:eastAsia="宋体" w:hAnsi="宋体" w:cs="宋体" w:hint="eastAsia"/>
                      <w:b/>
                      <w:bCs/>
                      <w:color w:val="000000"/>
                      <w:kern w:val="0"/>
                      <w:sz w:val="32"/>
                      <w:szCs w:val="32"/>
                    </w:rPr>
                    <w:t>关于印发《引进人才专家经费管理实施细则》的通知</w:t>
                  </w:r>
                  <w:bookmarkEnd w:id="0"/>
                </w:p>
              </w:tc>
            </w:tr>
          </w:tbl>
          <w:p w:rsidR="00970B64" w:rsidRPr="00970B64" w:rsidRDefault="00970B64" w:rsidP="00970B64">
            <w:pPr>
              <w:widowControl/>
              <w:jc w:val="center"/>
              <w:rPr>
                <w:rFonts w:ascii="ˎ̥" w:eastAsia="宋体" w:hAnsi="ˎ̥" w:cs="宋体"/>
                <w:color w:val="000000"/>
                <w:kern w:val="0"/>
                <w:sz w:val="36"/>
                <w:szCs w:val="36"/>
              </w:rPr>
            </w:pPr>
          </w:p>
        </w:tc>
      </w:tr>
      <w:tr w:rsidR="00970B64" w:rsidRPr="00970B64" w:rsidTr="00970B64">
        <w:trPr>
          <w:tblCellSpacing w:w="0" w:type="dxa"/>
          <w:jc w:val="center"/>
        </w:trPr>
        <w:tc>
          <w:tcPr>
            <w:tcW w:w="0" w:type="auto"/>
            <w:vAlign w:val="center"/>
            <w:hideMark/>
          </w:tcPr>
          <w:p w:rsidR="00970B64" w:rsidRPr="00970B64" w:rsidRDefault="00970B64" w:rsidP="00970B64">
            <w:pPr>
              <w:widowControl/>
              <w:spacing w:line="480" w:lineRule="auto"/>
              <w:jc w:val="left"/>
              <w:rPr>
                <w:rFonts w:ascii="宋体" w:eastAsia="宋体" w:hAnsi="宋体" w:cs="宋体"/>
                <w:color w:val="000000"/>
                <w:kern w:val="0"/>
                <w:sz w:val="24"/>
                <w:szCs w:val="24"/>
              </w:rPr>
            </w:pPr>
          </w:p>
          <w:p w:rsidR="00970B64" w:rsidRPr="00970B64" w:rsidRDefault="00970B64" w:rsidP="00970B64">
            <w:pPr>
              <w:widowControl/>
              <w:spacing w:before="100" w:beforeAutospacing="1" w:after="100" w:afterAutospacing="1" w:line="360" w:lineRule="auto"/>
              <w:jc w:val="left"/>
              <w:rPr>
                <w:rFonts w:ascii="宋体" w:eastAsia="宋体" w:hAnsi="宋体" w:cs="宋体" w:hint="eastAsia"/>
                <w:color w:val="000000"/>
                <w:kern w:val="0"/>
                <w:sz w:val="24"/>
                <w:szCs w:val="24"/>
              </w:rPr>
            </w:pPr>
            <w:r w:rsidRPr="00970B64">
              <w:rPr>
                <w:rFonts w:ascii="宋体" w:eastAsia="宋体" w:hAnsi="宋体" w:cs="宋体" w:hint="eastAsia"/>
                <w:color w:val="000000"/>
                <w:kern w:val="0"/>
                <w:sz w:val="24"/>
                <w:szCs w:val="24"/>
              </w:rPr>
              <w:t>各省、自治区、直辖市及副省级城市外国专家局，国务院各有关部委、直属机构、集团公司引智工作归口管理部门，新疆生产建设兵团外国专家局：</w:t>
            </w:r>
          </w:p>
          <w:p w:rsidR="00970B64" w:rsidRPr="00970B64" w:rsidRDefault="00970B64" w:rsidP="00970B64">
            <w:pPr>
              <w:widowControl/>
              <w:spacing w:before="100" w:beforeAutospacing="1" w:after="100" w:afterAutospacing="1" w:line="360" w:lineRule="auto"/>
              <w:jc w:val="left"/>
              <w:rPr>
                <w:rFonts w:ascii="宋体" w:eastAsia="宋体" w:hAnsi="宋体" w:cs="宋体" w:hint="eastAsia"/>
                <w:color w:val="000000"/>
                <w:kern w:val="0"/>
                <w:sz w:val="24"/>
                <w:szCs w:val="24"/>
              </w:rPr>
            </w:pPr>
            <w:r w:rsidRPr="00970B64">
              <w:rPr>
                <w:rFonts w:ascii="宋体" w:eastAsia="宋体" w:hAnsi="宋体" w:cs="宋体" w:hint="eastAsia"/>
                <w:color w:val="000000"/>
                <w:kern w:val="0"/>
                <w:sz w:val="24"/>
                <w:szCs w:val="24"/>
              </w:rPr>
              <w:t>    为加强和规范引进人才专家经费管理，现将《引进人才专家经费管理实施细则》印发给你们，请遵照执行。</w:t>
            </w:r>
          </w:p>
          <w:p w:rsidR="00970B64" w:rsidRPr="00970B64" w:rsidRDefault="00970B64" w:rsidP="00970B64">
            <w:pPr>
              <w:widowControl/>
              <w:spacing w:before="100" w:beforeAutospacing="1" w:after="100" w:afterAutospacing="1" w:line="360" w:lineRule="auto"/>
              <w:jc w:val="left"/>
              <w:rPr>
                <w:rFonts w:ascii="宋体" w:eastAsia="宋体" w:hAnsi="宋体" w:cs="宋体" w:hint="eastAsia"/>
                <w:color w:val="000000"/>
                <w:kern w:val="0"/>
                <w:sz w:val="24"/>
                <w:szCs w:val="24"/>
              </w:rPr>
            </w:pPr>
            <w:r w:rsidRPr="00970B64">
              <w:rPr>
                <w:rFonts w:ascii="宋体" w:eastAsia="宋体" w:hAnsi="宋体" w:cs="宋体" w:hint="eastAsia"/>
                <w:color w:val="000000"/>
                <w:kern w:val="0"/>
                <w:sz w:val="24"/>
                <w:szCs w:val="24"/>
              </w:rPr>
              <w:t> </w:t>
            </w:r>
          </w:p>
          <w:p w:rsidR="00970B64" w:rsidRPr="00970B64" w:rsidRDefault="00970B64" w:rsidP="00970B64">
            <w:pPr>
              <w:widowControl/>
              <w:spacing w:before="100" w:beforeAutospacing="1" w:after="100" w:afterAutospacing="1" w:line="360" w:lineRule="auto"/>
              <w:jc w:val="right"/>
              <w:rPr>
                <w:rFonts w:ascii="宋体" w:eastAsia="宋体" w:hAnsi="宋体" w:cs="宋体" w:hint="eastAsia"/>
                <w:color w:val="000000"/>
                <w:kern w:val="0"/>
                <w:sz w:val="24"/>
                <w:szCs w:val="24"/>
              </w:rPr>
            </w:pPr>
            <w:r w:rsidRPr="00970B64">
              <w:rPr>
                <w:rFonts w:ascii="宋体" w:eastAsia="宋体" w:hAnsi="宋体" w:cs="宋体" w:hint="eastAsia"/>
                <w:color w:val="000000"/>
                <w:kern w:val="0"/>
                <w:sz w:val="24"/>
                <w:szCs w:val="24"/>
              </w:rPr>
              <w:t>                         二○一○年五月二十六日</w:t>
            </w:r>
          </w:p>
          <w:p w:rsidR="00970B64" w:rsidRPr="00970B64" w:rsidRDefault="00970B64" w:rsidP="00970B64">
            <w:pPr>
              <w:widowControl/>
              <w:spacing w:before="100" w:beforeAutospacing="1" w:after="100" w:afterAutospacing="1" w:line="360" w:lineRule="auto"/>
              <w:jc w:val="center"/>
              <w:rPr>
                <w:rFonts w:ascii="宋体" w:eastAsia="宋体" w:hAnsi="宋体" w:cs="宋体" w:hint="eastAsia"/>
                <w:color w:val="000000"/>
                <w:kern w:val="0"/>
                <w:sz w:val="24"/>
                <w:szCs w:val="24"/>
              </w:rPr>
            </w:pPr>
            <w:r w:rsidRPr="00970B64">
              <w:rPr>
                <w:rFonts w:ascii="宋体" w:eastAsia="宋体" w:hAnsi="宋体" w:cs="宋体" w:hint="eastAsia"/>
                <w:color w:val="000000"/>
                <w:kern w:val="0"/>
                <w:sz w:val="24"/>
                <w:szCs w:val="24"/>
              </w:rPr>
              <w:br/>
            </w:r>
            <w:r w:rsidRPr="00970B64">
              <w:rPr>
                <w:rFonts w:ascii="宋体" w:eastAsia="宋体" w:hAnsi="宋体" w:cs="宋体" w:hint="eastAsia"/>
                <w:b/>
                <w:bCs/>
                <w:color w:val="000000"/>
                <w:kern w:val="0"/>
                <w:sz w:val="24"/>
                <w:szCs w:val="24"/>
              </w:rPr>
              <w:t>引进人才专家经费管理实施细则</w:t>
            </w:r>
          </w:p>
          <w:p w:rsidR="00970B64" w:rsidRPr="00970B64" w:rsidRDefault="00970B64" w:rsidP="00970B64">
            <w:pPr>
              <w:widowControl/>
              <w:spacing w:before="100" w:beforeAutospacing="1" w:after="100" w:afterAutospacing="1" w:line="360" w:lineRule="auto"/>
              <w:jc w:val="center"/>
              <w:rPr>
                <w:rFonts w:ascii="宋体" w:eastAsia="宋体" w:hAnsi="宋体" w:cs="宋体" w:hint="eastAsia"/>
                <w:color w:val="000000"/>
                <w:kern w:val="0"/>
                <w:sz w:val="24"/>
                <w:szCs w:val="24"/>
              </w:rPr>
            </w:pPr>
            <w:r w:rsidRPr="00970B64">
              <w:rPr>
                <w:rFonts w:ascii="宋体" w:eastAsia="宋体" w:hAnsi="宋体" w:cs="宋体" w:hint="eastAsia"/>
                <w:color w:val="000000"/>
                <w:kern w:val="0"/>
                <w:sz w:val="24"/>
                <w:szCs w:val="24"/>
              </w:rPr>
              <w:br/>
            </w:r>
            <w:r w:rsidRPr="00970B64">
              <w:rPr>
                <w:rFonts w:ascii="宋体" w:eastAsia="宋体" w:hAnsi="宋体" w:cs="宋体" w:hint="eastAsia"/>
                <w:b/>
                <w:bCs/>
                <w:color w:val="000000"/>
                <w:kern w:val="0"/>
                <w:sz w:val="24"/>
                <w:szCs w:val="24"/>
              </w:rPr>
              <w:t>第一章  总 则</w:t>
            </w:r>
          </w:p>
          <w:p w:rsidR="00970B64" w:rsidRPr="00970B64" w:rsidRDefault="00970B64" w:rsidP="00970B64">
            <w:pPr>
              <w:widowControl/>
              <w:spacing w:before="100" w:beforeAutospacing="1" w:after="100" w:afterAutospacing="1" w:line="360" w:lineRule="auto"/>
              <w:jc w:val="left"/>
              <w:rPr>
                <w:rFonts w:ascii="宋体" w:eastAsia="宋体" w:hAnsi="宋体" w:cs="宋体" w:hint="eastAsia"/>
                <w:color w:val="000000"/>
                <w:kern w:val="0"/>
                <w:sz w:val="24"/>
                <w:szCs w:val="24"/>
              </w:rPr>
            </w:pPr>
            <w:r w:rsidRPr="00970B64">
              <w:rPr>
                <w:rFonts w:ascii="宋体" w:eastAsia="宋体" w:hAnsi="宋体" w:cs="宋体" w:hint="eastAsia"/>
                <w:color w:val="000000"/>
                <w:kern w:val="0"/>
                <w:sz w:val="24"/>
                <w:szCs w:val="24"/>
              </w:rPr>
              <w:t>    第一条 为规范引进人才专家经费（以下称专家经费）的管理，明确专家经费的开支范围和资助标准，强化预算监督职能，保证专家经费的合理使用，根据《引进国外人才专项费用管理暂行办法》（外专发〔1999〕163号），特制定本实施细则。</w:t>
            </w:r>
          </w:p>
          <w:p w:rsidR="00970B64" w:rsidRPr="00970B64" w:rsidRDefault="00970B64" w:rsidP="00970B64">
            <w:pPr>
              <w:widowControl/>
              <w:spacing w:before="100" w:beforeAutospacing="1" w:after="100" w:afterAutospacing="1" w:line="360" w:lineRule="auto"/>
              <w:jc w:val="left"/>
              <w:rPr>
                <w:rFonts w:ascii="宋体" w:eastAsia="宋体" w:hAnsi="宋体" w:cs="宋体" w:hint="eastAsia"/>
                <w:color w:val="000000"/>
                <w:kern w:val="0"/>
                <w:sz w:val="24"/>
                <w:szCs w:val="24"/>
              </w:rPr>
            </w:pPr>
            <w:r w:rsidRPr="00970B64">
              <w:rPr>
                <w:rFonts w:ascii="宋体" w:eastAsia="宋体" w:hAnsi="宋体" w:cs="宋体" w:hint="eastAsia"/>
                <w:color w:val="000000"/>
                <w:kern w:val="0"/>
                <w:sz w:val="24"/>
                <w:szCs w:val="24"/>
              </w:rPr>
              <w:t>    第二条 本实施细则适用于国家外国专家局批准的专家项目。各地区各部门批准的专家项目可参照本实施细则执行。</w:t>
            </w:r>
          </w:p>
          <w:p w:rsidR="00970B64" w:rsidRPr="00970B64" w:rsidRDefault="00970B64" w:rsidP="00970B64">
            <w:pPr>
              <w:widowControl/>
              <w:spacing w:before="100" w:beforeAutospacing="1" w:after="100" w:afterAutospacing="1" w:line="360" w:lineRule="auto"/>
              <w:jc w:val="left"/>
              <w:rPr>
                <w:rFonts w:ascii="宋体" w:eastAsia="宋体" w:hAnsi="宋体" w:cs="宋体" w:hint="eastAsia"/>
                <w:color w:val="000000"/>
                <w:kern w:val="0"/>
                <w:sz w:val="24"/>
                <w:szCs w:val="24"/>
              </w:rPr>
            </w:pPr>
            <w:r w:rsidRPr="00970B64">
              <w:rPr>
                <w:rFonts w:ascii="宋体" w:eastAsia="宋体" w:hAnsi="宋体" w:cs="宋体" w:hint="eastAsia"/>
                <w:color w:val="000000"/>
                <w:kern w:val="0"/>
                <w:sz w:val="24"/>
                <w:szCs w:val="24"/>
              </w:rPr>
              <w:t>    第三条 各单位应严格按照本实施细则的规定执行，不得擅自扩大开支范围和提高开支标准，</w:t>
            </w:r>
            <w:r w:rsidRPr="00970B64">
              <w:rPr>
                <w:rFonts w:ascii="宋体" w:eastAsia="宋体" w:hAnsi="宋体" w:cs="宋体" w:hint="eastAsia"/>
                <w:color w:val="000000"/>
                <w:kern w:val="0"/>
                <w:sz w:val="24"/>
                <w:szCs w:val="24"/>
              </w:rPr>
              <w:lastRenderedPageBreak/>
              <w:t>不得擅自改变专家经费的用途，不得挪用和挤占。</w:t>
            </w:r>
          </w:p>
          <w:p w:rsidR="00970B64" w:rsidRPr="00970B64" w:rsidRDefault="00970B64" w:rsidP="00970B64">
            <w:pPr>
              <w:widowControl/>
              <w:spacing w:before="100" w:beforeAutospacing="1" w:after="100" w:afterAutospacing="1" w:line="360" w:lineRule="auto"/>
              <w:jc w:val="center"/>
              <w:rPr>
                <w:rFonts w:ascii="宋体" w:eastAsia="宋体" w:hAnsi="宋体" w:cs="宋体" w:hint="eastAsia"/>
                <w:color w:val="000000"/>
                <w:kern w:val="0"/>
                <w:sz w:val="24"/>
                <w:szCs w:val="24"/>
              </w:rPr>
            </w:pPr>
            <w:r w:rsidRPr="00970B64">
              <w:rPr>
                <w:rFonts w:ascii="宋体" w:eastAsia="宋体" w:hAnsi="宋体" w:cs="宋体" w:hint="eastAsia"/>
                <w:b/>
                <w:bCs/>
                <w:color w:val="000000"/>
                <w:kern w:val="0"/>
                <w:sz w:val="24"/>
                <w:szCs w:val="24"/>
              </w:rPr>
              <w:t>第二章  开支范围和标准</w:t>
            </w:r>
          </w:p>
          <w:p w:rsidR="00970B64" w:rsidRPr="00970B64" w:rsidRDefault="00970B64" w:rsidP="00970B64">
            <w:pPr>
              <w:widowControl/>
              <w:spacing w:before="100" w:beforeAutospacing="1" w:after="100" w:afterAutospacing="1" w:line="360" w:lineRule="auto"/>
              <w:jc w:val="left"/>
              <w:rPr>
                <w:rFonts w:ascii="宋体" w:eastAsia="宋体" w:hAnsi="宋体" w:cs="宋体" w:hint="eastAsia"/>
                <w:color w:val="000000"/>
                <w:kern w:val="0"/>
                <w:sz w:val="24"/>
                <w:szCs w:val="24"/>
              </w:rPr>
            </w:pPr>
            <w:r w:rsidRPr="00970B64">
              <w:rPr>
                <w:rFonts w:ascii="宋体" w:eastAsia="宋体" w:hAnsi="宋体" w:cs="宋体" w:hint="eastAsia"/>
                <w:color w:val="000000"/>
                <w:kern w:val="0"/>
                <w:sz w:val="24"/>
                <w:szCs w:val="24"/>
              </w:rPr>
              <w:t>    第四条 专家经费是指国家外国专家局为聘请国外专家来华所发生的费用。专家经费的开支范围包括：国际旅费、专家零用费、专家生活费、城市间交通费和其他费用，资助标准上限详见附件。</w:t>
            </w:r>
          </w:p>
          <w:p w:rsidR="00970B64" w:rsidRPr="00970B64" w:rsidRDefault="00970B64" w:rsidP="00970B64">
            <w:pPr>
              <w:widowControl/>
              <w:spacing w:before="100" w:beforeAutospacing="1" w:after="100" w:afterAutospacing="1" w:line="360" w:lineRule="auto"/>
              <w:jc w:val="left"/>
              <w:rPr>
                <w:rFonts w:ascii="宋体" w:eastAsia="宋体" w:hAnsi="宋体" w:cs="宋体" w:hint="eastAsia"/>
                <w:color w:val="000000"/>
                <w:kern w:val="0"/>
                <w:sz w:val="24"/>
                <w:szCs w:val="24"/>
              </w:rPr>
            </w:pPr>
            <w:r w:rsidRPr="00970B64">
              <w:rPr>
                <w:rFonts w:ascii="宋体" w:eastAsia="宋体" w:hAnsi="宋体" w:cs="宋体" w:hint="eastAsia"/>
                <w:color w:val="000000"/>
                <w:kern w:val="0"/>
                <w:sz w:val="24"/>
                <w:szCs w:val="24"/>
              </w:rPr>
              <w:t>    第五条 国际旅费是指专家从国外居住地到中国出（入）</w:t>
            </w:r>
            <w:proofErr w:type="gramStart"/>
            <w:r w:rsidRPr="00970B64">
              <w:rPr>
                <w:rFonts w:ascii="宋体" w:eastAsia="宋体" w:hAnsi="宋体" w:cs="宋体" w:hint="eastAsia"/>
                <w:color w:val="000000"/>
                <w:kern w:val="0"/>
                <w:sz w:val="24"/>
                <w:szCs w:val="24"/>
              </w:rPr>
              <w:t>境口岸</w:t>
            </w:r>
            <w:proofErr w:type="gramEnd"/>
            <w:r w:rsidRPr="00970B64">
              <w:rPr>
                <w:rFonts w:ascii="宋体" w:eastAsia="宋体" w:hAnsi="宋体" w:cs="宋体" w:hint="eastAsia"/>
                <w:color w:val="000000"/>
                <w:kern w:val="0"/>
                <w:sz w:val="24"/>
                <w:szCs w:val="24"/>
              </w:rPr>
              <w:t>之间的往返经济舱国际机票费用或其他交通费用。购买专家机票，需按照《关于加强因公出国机票管理的通知》（财外字〔1998〕283号）和《因公购买国际机票管理办法（暂行）》（外专发〔2003〕28号）的要求执行，即在规定的购票点购票，</w:t>
            </w:r>
            <w:proofErr w:type="gramStart"/>
            <w:r w:rsidRPr="00970B64">
              <w:rPr>
                <w:rFonts w:ascii="宋体" w:eastAsia="宋体" w:hAnsi="宋体" w:cs="宋体" w:hint="eastAsia"/>
                <w:color w:val="000000"/>
                <w:kern w:val="0"/>
                <w:sz w:val="24"/>
                <w:szCs w:val="24"/>
              </w:rPr>
              <w:t>凭国际</w:t>
            </w:r>
            <w:proofErr w:type="gramEnd"/>
            <w:r w:rsidRPr="00970B64">
              <w:rPr>
                <w:rFonts w:ascii="宋体" w:eastAsia="宋体" w:hAnsi="宋体" w:cs="宋体" w:hint="eastAsia"/>
                <w:color w:val="000000"/>
                <w:kern w:val="0"/>
                <w:sz w:val="24"/>
                <w:szCs w:val="24"/>
              </w:rPr>
              <w:t>机票发票或收据、机票复印件或电子客票行程单核销。经济舱国际机票的金额低于资助标准时，按实际发生额核销。如外方提供国际机票，则不再资助国际旅费。如因特殊情况需要为专家提供公务</w:t>
            </w:r>
            <w:proofErr w:type="gramStart"/>
            <w:r w:rsidRPr="00970B64">
              <w:rPr>
                <w:rFonts w:ascii="宋体" w:eastAsia="宋体" w:hAnsi="宋体" w:cs="宋体" w:hint="eastAsia"/>
                <w:color w:val="000000"/>
                <w:kern w:val="0"/>
                <w:sz w:val="24"/>
                <w:szCs w:val="24"/>
              </w:rPr>
              <w:t>舱国际</w:t>
            </w:r>
            <w:proofErr w:type="gramEnd"/>
            <w:r w:rsidRPr="00970B64">
              <w:rPr>
                <w:rFonts w:ascii="宋体" w:eastAsia="宋体" w:hAnsi="宋体" w:cs="宋体" w:hint="eastAsia"/>
                <w:color w:val="000000"/>
                <w:kern w:val="0"/>
                <w:sz w:val="24"/>
                <w:szCs w:val="24"/>
              </w:rPr>
              <w:t>机票资助，应在项目申报或执行过程中按程序报国家外国专家局审批。</w:t>
            </w:r>
          </w:p>
          <w:p w:rsidR="00970B64" w:rsidRPr="00970B64" w:rsidRDefault="00970B64" w:rsidP="00970B64">
            <w:pPr>
              <w:widowControl/>
              <w:spacing w:before="100" w:beforeAutospacing="1" w:after="100" w:afterAutospacing="1" w:line="360" w:lineRule="auto"/>
              <w:jc w:val="left"/>
              <w:rPr>
                <w:rFonts w:ascii="宋体" w:eastAsia="宋体" w:hAnsi="宋体" w:cs="宋体" w:hint="eastAsia"/>
                <w:color w:val="000000"/>
                <w:kern w:val="0"/>
                <w:sz w:val="24"/>
                <w:szCs w:val="24"/>
              </w:rPr>
            </w:pPr>
            <w:r w:rsidRPr="00970B64">
              <w:rPr>
                <w:rFonts w:ascii="宋体" w:eastAsia="宋体" w:hAnsi="宋体" w:cs="宋体" w:hint="eastAsia"/>
                <w:color w:val="000000"/>
                <w:kern w:val="0"/>
                <w:sz w:val="24"/>
                <w:szCs w:val="24"/>
              </w:rPr>
              <w:t>    第六条 专家零用费是指资助不支付工薪报酬的专家在华工作期间用于个人的费用补贴。专家零用费按专家在华工作实际天数发放，即从专家入境日起至出境日止的天数，超出资助标准部分由聘请单位支付。凡与国家外国专家局有合作协议的外国专家组织派遣的专家，</w:t>
            </w:r>
            <w:proofErr w:type="gramStart"/>
            <w:r w:rsidRPr="00970B64">
              <w:rPr>
                <w:rFonts w:ascii="宋体" w:eastAsia="宋体" w:hAnsi="宋体" w:cs="宋体" w:hint="eastAsia"/>
                <w:color w:val="000000"/>
                <w:kern w:val="0"/>
                <w:sz w:val="24"/>
                <w:szCs w:val="24"/>
              </w:rPr>
              <w:t>其专家</w:t>
            </w:r>
            <w:proofErr w:type="gramEnd"/>
            <w:r w:rsidRPr="00970B64">
              <w:rPr>
                <w:rFonts w:ascii="宋体" w:eastAsia="宋体" w:hAnsi="宋体" w:cs="宋体" w:hint="eastAsia"/>
                <w:color w:val="000000"/>
                <w:kern w:val="0"/>
                <w:sz w:val="24"/>
                <w:szCs w:val="24"/>
              </w:rPr>
              <w:t>零用费标准按照合作协议的标准执行。</w:t>
            </w:r>
          </w:p>
          <w:p w:rsidR="00970B64" w:rsidRPr="00970B64" w:rsidRDefault="00970B64" w:rsidP="00970B64">
            <w:pPr>
              <w:widowControl/>
              <w:spacing w:before="100" w:beforeAutospacing="1" w:after="100" w:afterAutospacing="1" w:line="360" w:lineRule="auto"/>
              <w:jc w:val="left"/>
              <w:rPr>
                <w:rFonts w:ascii="宋体" w:eastAsia="宋体" w:hAnsi="宋体" w:cs="宋体" w:hint="eastAsia"/>
                <w:color w:val="000000"/>
                <w:kern w:val="0"/>
                <w:sz w:val="24"/>
                <w:szCs w:val="24"/>
              </w:rPr>
            </w:pPr>
            <w:r w:rsidRPr="00970B64">
              <w:rPr>
                <w:rFonts w:ascii="宋体" w:eastAsia="宋体" w:hAnsi="宋体" w:cs="宋体" w:hint="eastAsia"/>
                <w:color w:val="000000"/>
                <w:kern w:val="0"/>
                <w:sz w:val="24"/>
                <w:szCs w:val="24"/>
              </w:rPr>
              <w:t>    第七条 专家生活费是指专家在华工作期间的住宿费、餐费、市内交通费和翻译费等。专家生活费按专家在华工作实际天数计算，即从专家入境日起至出境日止的天数，超出资助标准部分由聘请单位支付。</w:t>
            </w:r>
          </w:p>
          <w:p w:rsidR="00970B64" w:rsidRPr="00970B64" w:rsidRDefault="00970B64" w:rsidP="00970B64">
            <w:pPr>
              <w:widowControl/>
              <w:spacing w:before="100" w:beforeAutospacing="1" w:after="100" w:afterAutospacing="1" w:line="360" w:lineRule="auto"/>
              <w:jc w:val="left"/>
              <w:rPr>
                <w:rFonts w:ascii="宋体" w:eastAsia="宋体" w:hAnsi="宋体" w:cs="宋体" w:hint="eastAsia"/>
                <w:color w:val="000000"/>
                <w:kern w:val="0"/>
                <w:sz w:val="24"/>
                <w:szCs w:val="24"/>
              </w:rPr>
            </w:pPr>
            <w:r w:rsidRPr="00970B64">
              <w:rPr>
                <w:rFonts w:ascii="宋体" w:eastAsia="宋体" w:hAnsi="宋体" w:cs="宋体" w:hint="eastAsia"/>
                <w:color w:val="000000"/>
                <w:kern w:val="0"/>
                <w:sz w:val="24"/>
                <w:szCs w:val="24"/>
              </w:rPr>
              <w:t>    第八条 城市间交通费是指专家从出（入）</w:t>
            </w:r>
            <w:proofErr w:type="gramStart"/>
            <w:r w:rsidRPr="00970B64">
              <w:rPr>
                <w:rFonts w:ascii="宋体" w:eastAsia="宋体" w:hAnsi="宋体" w:cs="宋体" w:hint="eastAsia"/>
                <w:color w:val="000000"/>
                <w:kern w:val="0"/>
                <w:sz w:val="24"/>
                <w:szCs w:val="24"/>
              </w:rPr>
              <w:t>境口岸</w:t>
            </w:r>
            <w:proofErr w:type="gramEnd"/>
            <w:r w:rsidRPr="00970B64">
              <w:rPr>
                <w:rFonts w:ascii="宋体" w:eastAsia="宋体" w:hAnsi="宋体" w:cs="宋体" w:hint="eastAsia"/>
                <w:color w:val="000000"/>
                <w:kern w:val="0"/>
                <w:sz w:val="24"/>
                <w:szCs w:val="24"/>
              </w:rPr>
              <w:t>至工作城市的中国境内交通费，包括专家乘坐飞机经济舱、火车、汽车或租车等往返费用。城市间交通费超出资助标准部分由聘请单位支付。</w:t>
            </w:r>
          </w:p>
          <w:p w:rsidR="00970B64" w:rsidRPr="00970B64" w:rsidRDefault="00970B64" w:rsidP="00970B64">
            <w:pPr>
              <w:widowControl/>
              <w:spacing w:before="100" w:beforeAutospacing="1" w:after="100" w:afterAutospacing="1" w:line="360" w:lineRule="auto"/>
              <w:jc w:val="left"/>
              <w:rPr>
                <w:rFonts w:ascii="宋体" w:eastAsia="宋体" w:hAnsi="宋体" w:cs="宋体" w:hint="eastAsia"/>
                <w:color w:val="000000"/>
                <w:kern w:val="0"/>
                <w:sz w:val="24"/>
                <w:szCs w:val="24"/>
              </w:rPr>
            </w:pPr>
            <w:r w:rsidRPr="00970B64">
              <w:rPr>
                <w:rFonts w:ascii="宋体" w:eastAsia="宋体" w:hAnsi="宋体" w:cs="宋体" w:hint="eastAsia"/>
                <w:color w:val="000000"/>
                <w:kern w:val="0"/>
                <w:sz w:val="24"/>
                <w:szCs w:val="24"/>
              </w:rPr>
              <w:t>    第九条 其他费用是指技术资料费、突出贡献奖励费等费用，须在项目执行过程中向国家外国专家局提出申请，待批准后方能支付，各单位不得自行在该项目费用中列支。</w:t>
            </w:r>
          </w:p>
          <w:p w:rsidR="00970B64" w:rsidRPr="00970B64" w:rsidRDefault="00970B64" w:rsidP="00970B64">
            <w:pPr>
              <w:widowControl/>
              <w:spacing w:before="100" w:beforeAutospacing="1" w:after="100" w:afterAutospacing="1" w:line="360" w:lineRule="auto"/>
              <w:jc w:val="left"/>
              <w:rPr>
                <w:rFonts w:ascii="宋体" w:eastAsia="宋体" w:hAnsi="宋体" w:cs="宋体" w:hint="eastAsia"/>
                <w:color w:val="000000"/>
                <w:kern w:val="0"/>
                <w:sz w:val="24"/>
                <w:szCs w:val="24"/>
              </w:rPr>
            </w:pPr>
            <w:r w:rsidRPr="00970B64">
              <w:rPr>
                <w:rFonts w:ascii="宋体" w:eastAsia="宋体" w:hAnsi="宋体" w:cs="宋体" w:hint="eastAsia"/>
                <w:color w:val="000000"/>
                <w:kern w:val="0"/>
                <w:sz w:val="24"/>
                <w:szCs w:val="24"/>
              </w:rPr>
              <w:t>    第十条 我方陪同人员的差旅及交通等费用，应由聘请单位支付，不得在专家经费中列支。聘请单位因接待专家而购置器材设备的购置费用，应按原开支渠道支付，不得在专家经费中列支。</w:t>
            </w:r>
          </w:p>
          <w:p w:rsidR="00970B64" w:rsidRPr="00970B64" w:rsidRDefault="00970B64" w:rsidP="00970B64">
            <w:pPr>
              <w:widowControl/>
              <w:spacing w:before="100" w:beforeAutospacing="1" w:after="100" w:afterAutospacing="1" w:line="360" w:lineRule="auto"/>
              <w:jc w:val="left"/>
              <w:rPr>
                <w:rFonts w:ascii="宋体" w:eastAsia="宋体" w:hAnsi="宋体" w:cs="宋体" w:hint="eastAsia"/>
                <w:color w:val="000000"/>
                <w:kern w:val="0"/>
                <w:sz w:val="24"/>
                <w:szCs w:val="24"/>
              </w:rPr>
            </w:pPr>
            <w:r w:rsidRPr="00970B64">
              <w:rPr>
                <w:rFonts w:ascii="宋体" w:eastAsia="宋体" w:hAnsi="宋体" w:cs="宋体" w:hint="eastAsia"/>
                <w:color w:val="000000"/>
                <w:kern w:val="0"/>
                <w:sz w:val="24"/>
                <w:szCs w:val="24"/>
              </w:rPr>
              <w:t>    第十一条 每位专家一次来华，资助时间不超过30天，专家经费最高资助标准不得超过4.5</w:t>
            </w:r>
            <w:r w:rsidRPr="00970B64">
              <w:rPr>
                <w:rFonts w:ascii="宋体" w:eastAsia="宋体" w:hAnsi="宋体" w:cs="宋体" w:hint="eastAsia"/>
                <w:color w:val="000000"/>
                <w:kern w:val="0"/>
                <w:sz w:val="24"/>
                <w:szCs w:val="24"/>
              </w:rPr>
              <w:lastRenderedPageBreak/>
              <w:t>万元人民币（含国际旅费、专家零用费、专家生活费、城市间交通费和其他费用）。</w:t>
            </w:r>
          </w:p>
          <w:p w:rsidR="00970B64" w:rsidRPr="00970B64" w:rsidRDefault="00970B64" w:rsidP="00970B64">
            <w:pPr>
              <w:widowControl/>
              <w:spacing w:before="100" w:beforeAutospacing="1" w:after="100" w:afterAutospacing="1" w:line="360" w:lineRule="auto"/>
              <w:jc w:val="left"/>
              <w:rPr>
                <w:rFonts w:ascii="宋体" w:eastAsia="宋体" w:hAnsi="宋体" w:cs="宋体" w:hint="eastAsia"/>
                <w:color w:val="000000"/>
                <w:kern w:val="0"/>
                <w:sz w:val="24"/>
                <w:szCs w:val="24"/>
              </w:rPr>
            </w:pPr>
            <w:r w:rsidRPr="00970B64">
              <w:rPr>
                <w:rFonts w:ascii="宋体" w:eastAsia="宋体" w:hAnsi="宋体" w:cs="宋体" w:hint="eastAsia"/>
                <w:color w:val="000000"/>
                <w:kern w:val="0"/>
                <w:sz w:val="24"/>
                <w:szCs w:val="24"/>
              </w:rPr>
              <w:t>    第十二条 重点项目的专家经费开支范围和资助标准按《关于国家重点引智项目经费管理有关问题的通知》（外专发〔2006〕156号）执行。</w:t>
            </w:r>
          </w:p>
          <w:p w:rsidR="00970B64" w:rsidRPr="00970B64" w:rsidRDefault="00970B64" w:rsidP="00970B64">
            <w:pPr>
              <w:widowControl/>
              <w:spacing w:before="100" w:beforeAutospacing="1" w:after="100" w:afterAutospacing="1" w:line="360" w:lineRule="auto"/>
              <w:jc w:val="center"/>
              <w:rPr>
                <w:rFonts w:ascii="宋体" w:eastAsia="宋体" w:hAnsi="宋体" w:cs="宋体" w:hint="eastAsia"/>
                <w:color w:val="000000"/>
                <w:kern w:val="0"/>
                <w:sz w:val="24"/>
                <w:szCs w:val="24"/>
              </w:rPr>
            </w:pPr>
            <w:r w:rsidRPr="00970B64">
              <w:rPr>
                <w:rFonts w:ascii="宋体" w:eastAsia="宋体" w:hAnsi="宋体" w:cs="宋体" w:hint="eastAsia"/>
                <w:b/>
                <w:bCs/>
                <w:color w:val="000000"/>
                <w:kern w:val="0"/>
                <w:sz w:val="24"/>
                <w:szCs w:val="24"/>
              </w:rPr>
              <w:t>第三章  预算和执行管理</w:t>
            </w:r>
          </w:p>
          <w:p w:rsidR="00970B64" w:rsidRPr="00970B64" w:rsidRDefault="00970B64" w:rsidP="00970B64">
            <w:pPr>
              <w:widowControl/>
              <w:spacing w:before="100" w:beforeAutospacing="1" w:after="100" w:afterAutospacing="1" w:line="360" w:lineRule="auto"/>
              <w:jc w:val="left"/>
              <w:rPr>
                <w:rFonts w:ascii="宋体" w:eastAsia="宋体" w:hAnsi="宋体" w:cs="宋体" w:hint="eastAsia"/>
                <w:color w:val="000000"/>
                <w:kern w:val="0"/>
                <w:sz w:val="24"/>
                <w:szCs w:val="24"/>
              </w:rPr>
            </w:pPr>
            <w:r w:rsidRPr="00970B64">
              <w:rPr>
                <w:rFonts w:ascii="宋体" w:eastAsia="宋体" w:hAnsi="宋体" w:cs="宋体" w:hint="eastAsia"/>
                <w:color w:val="000000"/>
                <w:kern w:val="0"/>
                <w:sz w:val="24"/>
                <w:szCs w:val="24"/>
              </w:rPr>
              <w:t>    第十三条 各单位每年按规定的要求和时间向国家外国专家局申报下一年度专家项目和预算。当年不能执行、下一年度仍需执行的项目须重新申报，重新取得下一年度项目批号；跨年度执行的项目（当年12月31日以前已开始执行，未完成的项目）需向国家外国专家局备案，项目号可继续使用。重新申报和备案的项目列入下一年度预算。</w:t>
            </w:r>
          </w:p>
          <w:p w:rsidR="00970B64" w:rsidRPr="00970B64" w:rsidRDefault="00970B64" w:rsidP="00970B64">
            <w:pPr>
              <w:widowControl/>
              <w:spacing w:before="100" w:beforeAutospacing="1" w:after="100" w:afterAutospacing="1" w:line="360" w:lineRule="auto"/>
              <w:jc w:val="left"/>
              <w:rPr>
                <w:rFonts w:ascii="宋体" w:eastAsia="宋体" w:hAnsi="宋体" w:cs="宋体" w:hint="eastAsia"/>
                <w:color w:val="000000"/>
                <w:kern w:val="0"/>
                <w:sz w:val="24"/>
                <w:szCs w:val="24"/>
              </w:rPr>
            </w:pPr>
            <w:r w:rsidRPr="00970B64">
              <w:rPr>
                <w:rFonts w:ascii="宋体" w:eastAsia="宋体" w:hAnsi="宋体" w:cs="宋体" w:hint="eastAsia"/>
                <w:color w:val="000000"/>
                <w:kern w:val="0"/>
                <w:sz w:val="24"/>
                <w:szCs w:val="24"/>
              </w:rPr>
              <w:t>    第十四条 国家外国专家局根据财政部的要求汇总各单位预算后上报财政部。</w:t>
            </w:r>
          </w:p>
          <w:p w:rsidR="00970B64" w:rsidRPr="00970B64" w:rsidRDefault="00970B64" w:rsidP="00970B64">
            <w:pPr>
              <w:widowControl/>
              <w:spacing w:before="100" w:beforeAutospacing="1" w:after="100" w:afterAutospacing="1" w:line="360" w:lineRule="auto"/>
              <w:jc w:val="left"/>
              <w:rPr>
                <w:rFonts w:ascii="宋体" w:eastAsia="宋体" w:hAnsi="宋体" w:cs="宋体" w:hint="eastAsia"/>
                <w:color w:val="000000"/>
                <w:kern w:val="0"/>
                <w:sz w:val="24"/>
                <w:szCs w:val="24"/>
              </w:rPr>
            </w:pPr>
            <w:r w:rsidRPr="00970B64">
              <w:rPr>
                <w:rFonts w:ascii="宋体" w:eastAsia="宋体" w:hAnsi="宋体" w:cs="宋体" w:hint="eastAsia"/>
                <w:color w:val="000000"/>
                <w:kern w:val="0"/>
                <w:sz w:val="24"/>
                <w:szCs w:val="24"/>
              </w:rPr>
              <w:t>    第十五条 国家外国专家局根据财政部批复的预算核定各单位预算，在财政部规定的时间内下达到各单位。各单位预算一经下达，当年一般不再追加预算。如因特殊情况需要追加和调整预算，应在预算执行过程中按程序报国家外国专家局审批。</w:t>
            </w:r>
          </w:p>
          <w:p w:rsidR="00970B64" w:rsidRPr="00970B64" w:rsidRDefault="00970B64" w:rsidP="00970B64">
            <w:pPr>
              <w:widowControl/>
              <w:spacing w:before="100" w:beforeAutospacing="1" w:after="100" w:afterAutospacing="1" w:line="360" w:lineRule="auto"/>
              <w:jc w:val="left"/>
              <w:rPr>
                <w:rFonts w:ascii="宋体" w:eastAsia="宋体" w:hAnsi="宋体" w:cs="宋体" w:hint="eastAsia"/>
                <w:color w:val="000000"/>
                <w:kern w:val="0"/>
                <w:sz w:val="24"/>
                <w:szCs w:val="24"/>
              </w:rPr>
            </w:pPr>
            <w:r w:rsidRPr="00970B64">
              <w:rPr>
                <w:rFonts w:ascii="宋体" w:eastAsia="宋体" w:hAnsi="宋体" w:cs="宋体" w:hint="eastAsia"/>
                <w:color w:val="000000"/>
                <w:kern w:val="0"/>
                <w:sz w:val="24"/>
                <w:szCs w:val="24"/>
              </w:rPr>
              <w:t>    第十六条 各单位在批准的专家经费预算内，按规定的开支范围和资助标准执行国家外国专家局批准的专家项目。各单位在执行中超出预算的部分自行支付。</w:t>
            </w:r>
          </w:p>
          <w:p w:rsidR="00970B64" w:rsidRPr="00970B64" w:rsidRDefault="00970B64" w:rsidP="00970B64">
            <w:pPr>
              <w:widowControl/>
              <w:spacing w:before="100" w:beforeAutospacing="1" w:after="100" w:afterAutospacing="1" w:line="360" w:lineRule="auto"/>
              <w:jc w:val="left"/>
              <w:rPr>
                <w:rFonts w:ascii="宋体" w:eastAsia="宋体" w:hAnsi="宋体" w:cs="宋体" w:hint="eastAsia"/>
                <w:color w:val="000000"/>
                <w:kern w:val="0"/>
                <w:sz w:val="24"/>
                <w:szCs w:val="24"/>
              </w:rPr>
            </w:pPr>
            <w:r w:rsidRPr="00970B64">
              <w:rPr>
                <w:rFonts w:ascii="宋体" w:eastAsia="宋体" w:hAnsi="宋体" w:cs="宋体" w:hint="eastAsia"/>
                <w:color w:val="000000"/>
                <w:kern w:val="0"/>
                <w:sz w:val="24"/>
                <w:szCs w:val="24"/>
              </w:rPr>
              <w:t>    第十七条 各单位的专家经费要按项目管理（台账管理），按项目核算。每一项开支要落实到项目上，多个项目的共同开支要及时摊销到每一个项目上。</w:t>
            </w:r>
          </w:p>
          <w:p w:rsidR="00970B64" w:rsidRPr="00970B64" w:rsidRDefault="00970B64" w:rsidP="00970B64">
            <w:pPr>
              <w:widowControl/>
              <w:spacing w:before="100" w:beforeAutospacing="1" w:after="100" w:afterAutospacing="1" w:line="360" w:lineRule="auto"/>
              <w:jc w:val="center"/>
              <w:rPr>
                <w:rFonts w:ascii="宋体" w:eastAsia="宋体" w:hAnsi="宋体" w:cs="宋体" w:hint="eastAsia"/>
                <w:color w:val="000000"/>
                <w:kern w:val="0"/>
                <w:sz w:val="24"/>
                <w:szCs w:val="24"/>
              </w:rPr>
            </w:pPr>
            <w:r w:rsidRPr="00970B64">
              <w:rPr>
                <w:rFonts w:ascii="宋体" w:eastAsia="宋体" w:hAnsi="宋体" w:cs="宋体" w:hint="eastAsia"/>
                <w:b/>
                <w:bCs/>
                <w:color w:val="000000"/>
                <w:kern w:val="0"/>
                <w:sz w:val="24"/>
                <w:szCs w:val="24"/>
              </w:rPr>
              <w:t>第四章  资金拨付与管理</w:t>
            </w:r>
          </w:p>
          <w:p w:rsidR="00970B64" w:rsidRPr="00970B64" w:rsidRDefault="00970B64" w:rsidP="00970B64">
            <w:pPr>
              <w:widowControl/>
              <w:spacing w:before="100" w:beforeAutospacing="1" w:after="100" w:afterAutospacing="1" w:line="360" w:lineRule="auto"/>
              <w:jc w:val="left"/>
              <w:rPr>
                <w:rFonts w:ascii="宋体" w:eastAsia="宋体" w:hAnsi="宋体" w:cs="宋体" w:hint="eastAsia"/>
                <w:color w:val="000000"/>
                <w:kern w:val="0"/>
                <w:sz w:val="24"/>
                <w:szCs w:val="24"/>
              </w:rPr>
            </w:pPr>
            <w:r w:rsidRPr="00970B64">
              <w:rPr>
                <w:rFonts w:ascii="宋体" w:eastAsia="宋体" w:hAnsi="宋体" w:cs="宋体" w:hint="eastAsia"/>
                <w:color w:val="000000"/>
                <w:kern w:val="0"/>
                <w:sz w:val="24"/>
                <w:szCs w:val="24"/>
              </w:rPr>
              <w:t>    第十八条 专家经费根据各单位年度预算、专家项目执行情况和拨款</w:t>
            </w:r>
            <w:proofErr w:type="gramStart"/>
            <w:r w:rsidRPr="00970B64">
              <w:rPr>
                <w:rFonts w:ascii="宋体" w:eastAsia="宋体" w:hAnsi="宋体" w:cs="宋体" w:hint="eastAsia"/>
                <w:color w:val="000000"/>
                <w:kern w:val="0"/>
                <w:sz w:val="24"/>
                <w:szCs w:val="24"/>
              </w:rPr>
              <w:t>申请按</w:t>
            </w:r>
            <w:proofErr w:type="gramEnd"/>
            <w:r w:rsidRPr="00970B64">
              <w:rPr>
                <w:rFonts w:ascii="宋体" w:eastAsia="宋体" w:hAnsi="宋体" w:cs="宋体" w:hint="eastAsia"/>
                <w:color w:val="000000"/>
                <w:kern w:val="0"/>
                <w:sz w:val="24"/>
                <w:szCs w:val="24"/>
              </w:rPr>
              <w:t>季度拨款。当年批准的项目当年执行，执行项目的金额超出预算的部分自行支付；年末结余的专家经费视同下一年度预算预拨款。</w:t>
            </w:r>
          </w:p>
          <w:p w:rsidR="00970B64" w:rsidRPr="00970B64" w:rsidRDefault="00970B64" w:rsidP="00970B64">
            <w:pPr>
              <w:widowControl/>
              <w:spacing w:before="100" w:beforeAutospacing="1" w:after="100" w:afterAutospacing="1" w:line="360" w:lineRule="auto"/>
              <w:jc w:val="left"/>
              <w:rPr>
                <w:rFonts w:ascii="宋体" w:eastAsia="宋体" w:hAnsi="宋体" w:cs="宋体" w:hint="eastAsia"/>
                <w:color w:val="000000"/>
                <w:kern w:val="0"/>
                <w:sz w:val="24"/>
                <w:szCs w:val="24"/>
              </w:rPr>
            </w:pPr>
            <w:r w:rsidRPr="00970B64">
              <w:rPr>
                <w:rFonts w:ascii="宋体" w:eastAsia="宋体" w:hAnsi="宋体" w:cs="宋体" w:hint="eastAsia"/>
                <w:color w:val="000000"/>
                <w:kern w:val="0"/>
                <w:sz w:val="24"/>
                <w:szCs w:val="24"/>
              </w:rPr>
              <w:t>    第十九条 各单位对专家项目执行单位可以有以下三种拨款方式，</w:t>
            </w:r>
            <w:proofErr w:type="gramStart"/>
            <w:r w:rsidRPr="00970B64">
              <w:rPr>
                <w:rFonts w:ascii="宋体" w:eastAsia="宋体" w:hAnsi="宋体" w:cs="宋体" w:hint="eastAsia"/>
                <w:color w:val="000000"/>
                <w:kern w:val="0"/>
                <w:sz w:val="24"/>
                <w:szCs w:val="24"/>
              </w:rPr>
              <w:t>其一先</w:t>
            </w:r>
            <w:proofErr w:type="gramEnd"/>
            <w:r w:rsidRPr="00970B64">
              <w:rPr>
                <w:rFonts w:ascii="宋体" w:eastAsia="宋体" w:hAnsi="宋体" w:cs="宋体" w:hint="eastAsia"/>
                <w:color w:val="000000"/>
                <w:kern w:val="0"/>
                <w:sz w:val="24"/>
                <w:szCs w:val="24"/>
              </w:rPr>
              <w:t>拨款，后根据专家项目执行情况核销；其二聘请单位先垫付，专家项目执行完后拨款核销；其三先拨部分专家经费，专家项目执行完后再结算。各单位不能</w:t>
            </w:r>
            <w:proofErr w:type="gramStart"/>
            <w:r w:rsidRPr="00970B64">
              <w:rPr>
                <w:rFonts w:ascii="宋体" w:eastAsia="宋体" w:hAnsi="宋体" w:cs="宋体" w:hint="eastAsia"/>
                <w:color w:val="000000"/>
                <w:kern w:val="0"/>
                <w:sz w:val="24"/>
                <w:szCs w:val="24"/>
              </w:rPr>
              <w:t>以拨代支</w:t>
            </w:r>
            <w:proofErr w:type="gramEnd"/>
            <w:r w:rsidRPr="00970B64">
              <w:rPr>
                <w:rFonts w:ascii="宋体" w:eastAsia="宋体" w:hAnsi="宋体" w:cs="宋体" w:hint="eastAsia"/>
                <w:color w:val="000000"/>
                <w:kern w:val="0"/>
                <w:sz w:val="24"/>
                <w:szCs w:val="24"/>
              </w:rPr>
              <w:t>、虚假核销，未执行完的专家项目不能列入决算报表。</w:t>
            </w:r>
          </w:p>
          <w:p w:rsidR="00970B64" w:rsidRPr="00970B64" w:rsidRDefault="00970B64" w:rsidP="00970B64">
            <w:pPr>
              <w:widowControl/>
              <w:spacing w:before="100" w:beforeAutospacing="1" w:after="100" w:afterAutospacing="1" w:line="360" w:lineRule="auto"/>
              <w:jc w:val="center"/>
              <w:rPr>
                <w:rFonts w:ascii="宋体" w:eastAsia="宋体" w:hAnsi="宋体" w:cs="宋体" w:hint="eastAsia"/>
                <w:color w:val="000000"/>
                <w:kern w:val="0"/>
                <w:sz w:val="24"/>
                <w:szCs w:val="24"/>
              </w:rPr>
            </w:pPr>
            <w:r w:rsidRPr="00970B64">
              <w:rPr>
                <w:rFonts w:ascii="宋体" w:eastAsia="宋体" w:hAnsi="宋体" w:cs="宋体" w:hint="eastAsia"/>
                <w:b/>
                <w:bCs/>
                <w:color w:val="000000"/>
                <w:kern w:val="0"/>
                <w:sz w:val="24"/>
                <w:szCs w:val="24"/>
              </w:rPr>
              <w:lastRenderedPageBreak/>
              <w:t>第五章  会计账簿和报表</w:t>
            </w:r>
          </w:p>
          <w:p w:rsidR="00970B64" w:rsidRPr="00970B64" w:rsidRDefault="00970B64" w:rsidP="00970B64">
            <w:pPr>
              <w:widowControl/>
              <w:spacing w:before="100" w:beforeAutospacing="1" w:after="100" w:afterAutospacing="1" w:line="360" w:lineRule="auto"/>
              <w:jc w:val="left"/>
              <w:rPr>
                <w:rFonts w:ascii="宋体" w:eastAsia="宋体" w:hAnsi="宋体" w:cs="宋体" w:hint="eastAsia"/>
                <w:color w:val="000000"/>
                <w:kern w:val="0"/>
                <w:sz w:val="24"/>
                <w:szCs w:val="24"/>
              </w:rPr>
            </w:pPr>
            <w:r w:rsidRPr="00970B64">
              <w:rPr>
                <w:rFonts w:ascii="宋体" w:eastAsia="宋体" w:hAnsi="宋体" w:cs="宋体" w:hint="eastAsia"/>
                <w:color w:val="000000"/>
                <w:kern w:val="0"/>
                <w:sz w:val="24"/>
                <w:szCs w:val="24"/>
              </w:rPr>
              <w:t>    第二十条 各单位应按照《行政单位会计制度》、《事业单位会计制度》和本实施细则的要求，设立会计账簿和会计科目，专家经费支出要进行项目核算，专家经费的收、支要分别核算，不能在往来科目中核算。</w:t>
            </w:r>
          </w:p>
          <w:p w:rsidR="00970B64" w:rsidRPr="00970B64" w:rsidRDefault="00970B64" w:rsidP="00970B64">
            <w:pPr>
              <w:widowControl/>
              <w:spacing w:before="100" w:beforeAutospacing="1" w:after="100" w:afterAutospacing="1" w:line="360" w:lineRule="auto"/>
              <w:jc w:val="left"/>
              <w:rPr>
                <w:rFonts w:ascii="宋体" w:eastAsia="宋体" w:hAnsi="宋体" w:cs="宋体" w:hint="eastAsia"/>
                <w:color w:val="000000"/>
                <w:kern w:val="0"/>
                <w:sz w:val="24"/>
                <w:szCs w:val="24"/>
              </w:rPr>
            </w:pPr>
            <w:r w:rsidRPr="00970B64">
              <w:rPr>
                <w:rFonts w:ascii="宋体" w:eastAsia="宋体" w:hAnsi="宋体" w:cs="宋体" w:hint="eastAsia"/>
                <w:color w:val="000000"/>
                <w:kern w:val="0"/>
                <w:sz w:val="24"/>
                <w:szCs w:val="24"/>
              </w:rPr>
              <w:t>    第二十一条 各单位应于四月、七月、十月十五日前上报国家外国专家局专家项目预算执行情况表，并申请下季度经费。不上报预算执行情况表的单位不拨款。</w:t>
            </w:r>
          </w:p>
          <w:p w:rsidR="00970B64" w:rsidRPr="00970B64" w:rsidRDefault="00970B64" w:rsidP="00970B64">
            <w:pPr>
              <w:widowControl/>
              <w:spacing w:before="100" w:beforeAutospacing="1" w:after="100" w:afterAutospacing="1" w:line="360" w:lineRule="auto"/>
              <w:jc w:val="left"/>
              <w:rPr>
                <w:rFonts w:ascii="宋体" w:eastAsia="宋体" w:hAnsi="宋体" w:cs="宋体" w:hint="eastAsia"/>
                <w:color w:val="000000"/>
                <w:kern w:val="0"/>
                <w:sz w:val="24"/>
                <w:szCs w:val="24"/>
              </w:rPr>
            </w:pPr>
            <w:r w:rsidRPr="00970B64">
              <w:rPr>
                <w:rFonts w:ascii="宋体" w:eastAsia="宋体" w:hAnsi="宋体" w:cs="宋体" w:hint="eastAsia"/>
                <w:color w:val="000000"/>
                <w:kern w:val="0"/>
                <w:sz w:val="24"/>
                <w:szCs w:val="24"/>
              </w:rPr>
              <w:t>    第二十二条 各单位专家经费决算报表应于下年度一月底前上报国家外国专家局。国家外国专家局将根据财政部决算批复及时批复各单位的专家经费决算，各单位应根据决算批复及时调整相关账目。</w:t>
            </w:r>
          </w:p>
          <w:p w:rsidR="00970B64" w:rsidRPr="00970B64" w:rsidRDefault="00970B64" w:rsidP="00970B64">
            <w:pPr>
              <w:widowControl/>
              <w:spacing w:before="100" w:beforeAutospacing="1" w:after="100" w:afterAutospacing="1" w:line="360" w:lineRule="auto"/>
              <w:jc w:val="left"/>
              <w:rPr>
                <w:rFonts w:ascii="宋体" w:eastAsia="宋体" w:hAnsi="宋体" w:cs="宋体" w:hint="eastAsia"/>
                <w:color w:val="000000"/>
                <w:kern w:val="0"/>
                <w:sz w:val="24"/>
                <w:szCs w:val="24"/>
              </w:rPr>
            </w:pPr>
            <w:r w:rsidRPr="00970B64">
              <w:rPr>
                <w:rFonts w:ascii="宋体" w:eastAsia="宋体" w:hAnsi="宋体" w:cs="宋体" w:hint="eastAsia"/>
                <w:color w:val="000000"/>
                <w:kern w:val="0"/>
                <w:sz w:val="24"/>
                <w:szCs w:val="24"/>
              </w:rPr>
              <w:t>    第二十三条 各单位应按照规定的格式编报决算，决算报表要真实、完整，不允许</w:t>
            </w:r>
            <w:proofErr w:type="gramStart"/>
            <w:r w:rsidRPr="00970B64">
              <w:rPr>
                <w:rFonts w:ascii="宋体" w:eastAsia="宋体" w:hAnsi="宋体" w:cs="宋体" w:hint="eastAsia"/>
                <w:color w:val="000000"/>
                <w:kern w:val="0"/>
                <w:sz w:val="24"/>
                <w:szCs w:val="24"/>
              </w:rPr>
              <w:t>以拨代支</w:t>
            </w:r>
            <w:proofErr w:type="gramEnd"/>
            <w:r w:rsidRPr="00970B64">
              <w:rPr>
                <w:rFonts w:ascii="宋体" w:eastAsia="宋体" w:hAnsi="宋体" w:cs="宋体" w:hint="eastAsia"/>
                <w:color w:val="000000"/>
                <w:kern w:val="0"/>
                <w:sz w:val="24"/>
                <w:szCs w:val="24"/>
              </w:rPr>
              <w:t>、以</w:t>
            </w:r>
            <w:proofErr w:type="gramStart"/>
            <w:r w:rsidRPr="00970B64">
              <w:rPr>
                <w:rFonts w:ascii="宋体" w:eastAsia="宋体" w:hAnsi="宋体" w:cs="宋体" w:hint="eastAsia"/>
                <w:color w:val="000000"/>
                <w:kern w:val="0"/>
                <w:sz w:val="24"/>
                <w:szCs w:val="24"/>
              </w:rPr>
              <w:t>领代报</w:t>
            </w:r>
            <w:proofErr w:type="gramEnd"/>
            <w:r w:rsidRPr="00970B64">
              <w:rPr>
                <w:rFonts w:ascii="宋体" w:eastAsia="宋体" w:hAnsi="宋体" w:cs="宋体" w:hint="eastAsia"/>
                <w:color w:val="000000"/>
                <w:kern w:val="0"/>
                <w:sz w:val="24"/>
                <w:szCs w:val="24"/>
              </w:rPr>
              <w:t>等虚列决算的现象发生。</w:t>
            </w:r>
          </w:p>
          <w:p w:rsidR="00970B64" w:rsidRPr="00970B64" w:rsidRDefault="00970B64" w:rsidP="00970B64">
            <w:pPr>
              <w:widowControl/>
              <w:spacing w:before="100" w:beforeAutospacing="1" w:after="100" w:afterAutospacing="1" w:line="360" w:lineRule="auto"/>
              <w:jc w:val="center"/>
              <w:rPr>
                <w:rFonts w:ascii="宋体" w:eastAsia="宋体" w:hAnsi="宋体" w:cs="宋体" w:hint="eastAsia"/>
                <w:color w:val="000000"/>
                <w:kern w:val="0"/>
                <w:sz w:val="24"/>
                <w:szCs w:val="24"/>
              </w:rPr>
            </w:pPr>
            <w:r w:rsidRPr="00970B64">
              <w:rPr>
                <w:rFonts w:ascii="宋体" w:eastAsia="宋体" w:hAnsi="宋体" w:cs="宋体" w:hint="eastAsia"/>
                <w:b/>
                <w:bCs/>
                <w:color w:val="000000"/>
                <w:kern w:val="0"/>
                <w:sz w:val="24"/>
                <w:szCs w:val="24"/>
              </w:rPr>
              <w:t>第六章  监督与检查</w:t>
            </w:r>
          </w:p>
          <w:p w:rsidR="00970B64" w:rsidRPr="00970B64" w:rsidRDefault="00970B64" w:rsidP="00970B64">
            <w:pPr>
              <w:widowControl/>
              <w:spacing w:before="100" w:beforeAutospacing="1" w:after="100" w:afterAutospacing="1" w:line="360" w:lineRule="auto"/>
              <w:jc w:val="left"/>
              <w:rPr>
                <w:rFonts w:ascii="宋体" w:eastAsia="宋体" w:hAnsi="宋体" w:cs="宋体" w:hint="eastAsia"/>
                <w:color w:val="000000"/>
                <w:kern w:val="0"/>
                <w:sz w:val="24"/>
                <w:szCs w:val="24"/>
              </w:rPr>
            </w:pPr>
            <w:r w:rsidRPr="00970B64">
              <w:rPr>
                <w:rFonts w:ascii="宋体" w:eastAsia="宋体" w:hAnsi="宋体" w:cs="宋体" w:hint="eastAsia"/>
                <w:color w:val="000000"/>
                <w:kern w:val="0"/>
                <w:sz w:val="24"/>
                <w:szCs w:val="24"/>
              </w:rPr>
              <w:t>    第二十四条 按照《引进国外人才专项费用管理暂行办法》的要求，加强专家经费的财务监督与检查，实行追踪问效，切实提高资金使用的安全性、规范性和有效性。对检查出的违规现象应及时纠正，情节严重的应按有关法律法规进行处理。</w:t>
            </w:r>
          </w:p>
          <w:p w:rsidR="00970B64" w:rsidRPr="00970B64" w:rsidRDefault="00970B64" w:rsidP="00970B64">
            <w:pPr>
              <w:widowControl/>
              <w:spacing w:before="100" w:beforeAutospacing="1" w:after="100" w:afterAutospacing="1" w:line="360" w:lineRule="auto"/>
              <w:jc w:val="center"/>
              <w:rPr>
                <w:rFonts w:ascii="宋体" w:eastAsia="宋体" w:hAnsi="宋体" w:cs="宋体" w:hint="eastAsia"/>
                <w:color w:val="000000"/>
                <w:kern w:val="0"/>
                <w:sz w:val="24"/>
                <w:szCs w:val="24"/>
              </w:rPr>
            </w:pPr>
            <w:r w:rsidRPr="00970B64">
              <w:rPr>
                <w:rFonts w:ascii="宋体" w:eastAsia="宋体" w:hAnsi="宋体" w:cs="宋体" w:hint="eastAsia"/>
                <w:b/>
                <w:bCs/>
                <w:color w:val="000000"/>
                <w:kern w:val="0"/>
                <w:sz w:val="24"/>
                <w:szCs w:val="24"/>
              </w:rPr>
              <w:t>第七章  附则</w:t>
            </w:r>
          </w:p>
          <w:p w:rsidR="00970B64" w:rsidRPr="00970B64" w:rsidRDefault="00970B64" w:rsidP="00970B64">
            <w:pPr>
              <w:widowControl/>
              <w:spacing w:before="100" w:beforeAutospacing="1" w:after="100" w:afterAutospacing="1" w:line="360" w:lineRule="auto"/>
              <w:jc w:val="left"/>
              <w:rPr>
                <w:rFonts w:ascii="宋体" w:eastAsia="宋体" w:hAnsi="宋体" w:cs="宋体" w:hint="eastAsia"/>
                <w:color w:val="000000"/>
                <w:kern w:val="0"/>
                <w:sz w:val="24"/>
                <w:szCs w:val="24"/>
              </w:rPr>
            </w:pPr>
            <w:r w:rsidRPr="00970B64">
              <w:rPr>
                <w:rFonts w:ascii="宋体" w:eastAsia="宋体" w:hAnsi="宋体" w:cs="宋体" w:hint="eastAsia"/>
                <w:color w:val="000000"/>
                <w:kern w:val="0"/>
                <w:sz w:val="24"/>
                <w:szCs w:val="24"/>
              </w:rPr>
              <w:t>    第二十五条 《聘请外国专家资助标准》作为本实施细则的附件。</w:t>
            </w:r>
          </w:p>
          <w:p w:rsidR="00970B64" w:rsidRPr="00970B64" w:rsidRDefault="00970B64" w:rsidP="00970B64">
            <w:pPr>
              <w:widowControl/>
              <w:spacing w:before="100" w:beforeAutospacing="1" w:after="100" w:afterAutospacing="1" w:line="360" w:lineRule="auto"/>
              <w:jc w:val="left"/>
              <w:rPr>
                <w:rFonts w:ascii="宋体" w:eastAsia="宋体" w:hAnsi="宋体" w:cs="宋体" w:hint="eastAsia"/>
                <w:color w:val="000000"/>
                <w:kern w:val="0"/>
                <w:sz w:val="24"/>
                <w:szCs w:val="24"/>
              </w:rPr>
            </w:pPr>
            <w:r w:rsidRPr="00970B64">
              <w:rPr>
                <w:rFonts w:ascii="宋体" w:eastAsia="宋体" w:hAnsi="宋体" w:cs="宋体" w:hint="eastAsia"/>
                <w:color w:val="000000"/>
                <w:kern w:val="0"/>
                <w:sz w:val="24"/>
                <w:szCs w:val="24"/>
              </w:rPr>
              <w:t>    第二十六条 本实施细则由国家外国专家局负责解释。</w:t>
            </w:r>
          </w:p>
          <w:p w:rsidR="00970B64" w:rsidRPr="00970B64" w:rsidRDefault="00970B64" w:rsidP="00970B64">
            <w:pPr>
              <w:widowControl/>
              <w:spacing w:before="100" w:beforeAutospacing="1" w:after="100" w:afterAutospacing="1" w:line="360" w:lineRule="auto"/>
              <w:jc w:val="left"/>
              <w:rPr>
                <w:rFonts w:ascii="宋体" w:eastAsia="宋体" w:hAnsi="宋体" w:cs="宋体" w:hint="eastAsia"/>
                <w:color w:val="000000"/>
                <w:kern w:val="0"/>
                <w:sz w:val="24"/>
                <w:szCs w:val="24"/>
              </w:rPr>
            </w:pPr>
            <w:r w:rsidRPr="00970B64">
              <w:rPr>
                <w:rFonts w:ascii="宋体" w:eastAsia="宋体" w:hAnsi="宋体" w:cs="宋体" w:hint="eastAsia"/>
                <w:color w:val="000000"/>
                <w:kern w:val="0"/>
                <w:sz w:val="24"/>
                <w:szCs w:val="24"/>
              </w:rPr>
              <w:t>    第二十七条 本实施细则自发布之日起执行。《关于调整外国专家在华工作期间零用费标准的通知》（外专发〔2000〕151号）和《关于印发〈引进人才专家经费管理实施细则〉（暂行）的通知》（外专发〔2001〕7号）同时废止。在此之前颁布的规定与本实施细则相抵触的，以本实施细则为准。</w:t>
            </w:r>
          </w:p>
          <w:p w:rsidR="00970B64" w:rsidRPr="00970B64" w:rsidRDefault="00970B64" w:rsidP="00970B64">
            <w:pPr>
              <w:widowControl/>
              <w:spacing w:before="100" w:beforeAutospacing="1" w:after="100" w:afterAutospacing="1" w:line="360" w:lineRule="auto"/>
              <w:jc w:val="left"/>
              <w:rPr>
                <w:rFonts w:ascii="宋体" w:eastAsia="宋体" w:hAnsi="宋体" w:cs="宋体" w:hint="eastAsia"/>
                <w:color w:val="000000"/>
                <w:kern w:val="0"/>
                <w:sz w:val="24"/>
                <w:szCs w:val="24"/>
              </w:rPr>
            </w:pPr>
            <w:r w:rsidRPr="00970B64">
              <w:rPr>
                <w:rFonts w:ascii="宋体" w:eastAsia="宋体" w:hAnsi="宋体" w:cs="宋体" w:hint="eastAsia"/>
                <w:color w:val="000000"/>
                <w:kern w:val="0"/>
                <w:sz w:val="24"/>
                <w:szCs w:val="24"/>
              </w:rPr>
              <w:t>附件：</w:t>
            </w:r>
          </w:p>
          <w:p w:rsidR="00970B64" w:rsidRPr="00970B64" w:rsidRDefault="00970B64" w:rsidP="00970B64">
            <w:pPr>
              <w:widowControl/>
              <w:spacing w:before="100" w:beforeAutospacing="1" w:after="100" w:afterAutospacing="1" w:line="360" w:lineRule="auto"/>
              <w:jc w:val="center"/>
              <w:rPr>
                <w:rFonts w:ascii="宋体" w:eastAsia="宋体" w:hAnsi="宋体" w:cs="宋体" w:hint="eastAsia"/>
                <w:color w:val="000000"/>
                <w:kern w:val="0"/>
                <w:sz w:val="24"/>
                <w:szCs w:val="24"/>
              </w:rPr>
            </w:pPr>
            <w:r w:rsidRPr="00970B64">
              <w:rPr>
                <w:rFonts w:ascii="宋体" w:eastAsia="宋体" w:hAnsi="宋体" w:cs="宋体" w:hint="eastAsia"/>
                <w:b/>
                <w:bCs/>
                <w:color w:val="000000"/>
                <w:kern w:val="0"/>
                <w:sz w:val="24"/>
                <w:szCs w:val="24"/>
              </w:rPr>
              <w:lastRenderedPageBreak/>
              <w:t>聘请外国专家资助标准</w:t>
            </w:r>
          </w:p>
          <w:p w:rsidR="00970B64" w:rsidRPr="00970B64" w:rsidRDefault="00970B64" w:rsidP="00970B64">
            <w:pPr>
              <w:widowControl/>
              <w:spacing w:before="100" w:beforeAutospacing="1" w:after="100" w:afterAutospacing="1" w:line="360" w:lineRule="auto"/>
              <w:jc w:val="right"/>
              <w:rPr>
                <w:rFonts w:ascii="宋体" w:eastAsia="宋体" w:hAnsi="宋体" w:cs="宋体" w:hint="eastAsia"/>
                <w:color w:val="000000"/>
                <w:kern w:val="0"/>
                <w:sz w:val="24"/>
                <w:szCs w:val="24"/>
              </w:rPr>
            </w:pPr>
            <w:r w:rsidRPr="00970B64">
              <w:rPr>
                <w:rFonts w:ascii="宋体" w:eastAsia="宋体" w:hAnsi="宋体" w:cs="宋体" w:hint="eastAsia"/>
                <w:color w:val="000000"/>
                <w:kern w:val="0"/>
                <w:sz w:val="24"/>
                <w:szCs w:val="24"/>
              </w:rPr>
              <w:t>             单位：人民币元/人次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1128"/>
              <w:gridCol w:w="1332"/>
              <w:gridCol w:w="1403"/>
              <w:gridCol w:w="5980"/>
            </w:tblGrid>
            <w:tr w:rsidR="00970B64" w:rsidRPr="00970B64">
              <w:trPr>
                <w:trHeight w:val="1455"/>
                <w:jc w:val="center"/>
              </w:trPr>
              <w:tc>
                <w:tcPr>
                  <w:tcW w:w="733" w:type="dxa"/>
                  <w:tcBorders>
                    <w:top w:val="single" w:sz="4" w:space="0" w:color="auto"/>
                    <w:left w:val="single" w:sz="4" w:space="0" w:color="auto"/>
                    <w:bottom w:val="single" w:sz="4" w:space="0" w:color="auto"/>
                    <w:right w:val="single" w:sz="4" w:space="0" w:color="auto"/>
                  </w:tcBorders>
                  <w:vAlign w:val="center"/>
                  <w:hideMark/>
                </w:tcPr>
                <w:p w:rsidR="00970B64" w:rsidRPr="00970B64" w:rsidRDefault="00970B64" w:rsidP="00970B64">
                  <w:pPr>
                    <w:widowControl/>
                    <w:spacing w:line="360" w:lineRule="auto"/>
                    <w:jc w:val="center"/>
                    <w:rPr>
                      <w:rFonts w:ascii="ˎ̥" w:eastAsia="宋体" w:hAnsi="ˎ̥" w:cs="宋体"/>
                      <w:color w:val="000000"/>
                      <w:kern w:val="0"/>
                      <w:szCs w:val="21"/>
                    </w:rPr>
                  </w:pPr>
                  <w:r w:rsidRPr="00970B64">
                    <w:rPr>
                      <w:rFonts w:ascii="宋体" w:eastAsia="宋体" w:hAnsi="宋体" w:cs="宋体" w:hint="eastAsia"/>
                      <w:b/>
                      <w:color w:val="000000"/>
                      <w:kern w:val="0"/>
                      <w:szCs w:val="21"/>
                    </w:rPr>
                    <w:t>序号</w:t>
                  </w:r>
                </w:p>
              </w:tc>
              <w:tc>
                <w:tcPr>
                  <w:tcW w:w="1402" w:type="dxa"/>
                  <w:tcBorders>
                    <w:top w:val="single" w:sz="4" w:space="0" w:color="auto"/>
                    <w:left w:val="single" w:sz="4" w:space="0" w:color="auto"/>
                    <w:bottom w:val="single" w:sz="4" w:space="0" w:color="auto"/>
                    <w:right w:val="single" w:sz="4" w:space="0" w:color="auto"/>
                  </w:tcBorders>
                  <w:vAlign w:val="center"/>
                  <w:hideMark/>
                </w:tcPr>
                <w:p w:rsidR="00970B64" w:rsidRPr="00970B64" w:rsidRDefault="00970B64" w:rsidP="00970B64">
                  <w:pPr>
                    <w:widowControl/>
                    <w:spacing w:line="360" w:lineRule="auto"/>
                    <w:jc w:val="center"/>
                    <w:rPr>
                      <w:rFonts w:ascii="ˎ̥" w:eastAsia="宋体" w:hAnsi="ˎ̥" w:cs="宋体"/>
                      <w:color w:val="000000"/>
                      <w:kern w:val="0"/>
                      <w:szCs w:val="21"/>
                    </w:rPr>
                  </w:pPr>
                  <w:r w:rsidRPr="00970B64">
                    <w:rPr>
                      <w:rFonts w:ascii="宋体" w:eastAsia="宋体" w:hAnsi="宋体" w:cs="宋体" w:hint="eastAsia"/>
                      <w:b/>
                      <w:color w:val="000000"/>
                      <w:kern w:val="0"/>
                      <w:szCs w:val="21"/>
                    </w:rPr>
                    <w:t>科目名称</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0B64" w:rsidRPr="00970B64" w:rsidRDefault="00970B64" w:rsidP="00970B64">
                  <w:pPr>
                    <w:widowControl/>
                    <w:spacing w:line="360" w:lineRule="auto"/>
                    <w:jc w:val="center"/>
                    <w:rPr>
                      <w:rFonts w:ascii="ˎ̥" w:eastAsia="宋体" w:hAnsi="ˎ̥" w:cs="宋体"/>
                      <w:color w:val="000000"/>
                      <w:kern w:val="0"/>
                      <w:szCs w:val="21"/>
                    </w:rPr>
                  </w:pPr>
                  <w:r w:rsidRPr="00970B64">
                    <w:rPr>
                      <w:rFonts w:ascii="宋体" w:eastAsia="宋体" w:hAnsi="宋体" w:cs="宋体" w:hint="eastAsia"/>
                      <w:b/>
                      <w:color w:val="000000"/>
                      <w:kern w:val="0"/>
                      <w:szCs w:val="21"/>
                    </w:rPr>
                    <w:t>资助标准</w:t>
                  </w:r>
                </w:p>
              </w:tc>
              <w:tc>
                <w:tcPr>
                  <w:tcW w:w="1620" w:type="dxa"/>
                  <w:tcBorders>
                    <w:top w:val="single" w:sz="4" w:space="0" w:color="auto"/>
                    <w:left w:val="single" w:sz="4" w:space="0" w:color="auto"/>
                    <w:bottom w:val="single" w:sz="4" w:space="0" w:color="auto"/>
                    <w:right w:val="single" w:sz="4" w:space="0" w:color="auto"/>
                  </w:tcBorders>
                  <w:vAlign w:val="center"/>
                  <w:hideMark/>
                </w:tcPr>
                <w:p w:rsidR="00970B64" w:rsidRPr="00970B64" w:rsidRDefault="00970B64" w:rsidP="00970B64">
                  <w:pPr>
                    <w:widowControl/>
                    <w:spacing w:line="360" w:lineRule="auto"/>
                    <w:jc w:val="center"/>
                    <w:rPr>
                      <w:rFonts w:ascii="ˎ̥" w:eastAsia="宋体" w:hAnsi="ˎ̥" w:cs="宋体"/>
                      <w:color w:val="000000"/>
                      <w:kern w:val="0"/>
                      <w:szCs w:val="21"/>
                    </w:rPr>
                  </w:pPr>
                  <w:r w:rsidRPr="00970B64">
                    <w:rPr>
                      <w:rFonts w:ascii="宋体" w:eastAsia="宋体" w:hAnsi="宋体" w:cs="宋体" w:hint="eastAsia"/>
                      <w:b/>
                      <w:color w:val="000000"/>
                      <w:kern w:val="0"/>
                      <w:szCs w:val="21"/>
                    </w:rPr>
                    <w:t>资助标准上限</w:t>
                  </w:r>
                </w:p>
              </w:tc>
              <w:tc>
                <w:tcPr>
                  <w:tcW w:w="7200" w:type="dxa"/>
                  <w:tcBorders>
                    <w:top w:val="single" w:sz="4" w:space="0" w:color="auto"/>
                    <w:left w:val="single" w:sz="4" w:space="0" w:color="auto"/>
                    <w:bottom w:val="single" w:sz="4" w:space="0" w:color="auto"/>
                    <w:right w:val="single" w:sz="4" w:space="0" w:color="auto"/>
                  </w:tcBorders>
                  <w:vAlign w:val="center"/>
                  <w:hideMark/>
                </w:tcPr>
                <w:p w:rsidR="00970B64" w:rsidRPr="00970B64" w:rsidRDefault="00970B64" w:rsidP="00970B64">
                  <w:pPr>
                    <w:widowControl/>
                    <w:spacing w:line="360" w:lineRule="auto"/>
                    <w:jc w:val="center"/>
                    <w:rPr>
                      <w:rFonts w:ascii="ˎ̥" w:eastAsia="宋体" w:hAnsi="ˎ̥" w:cs="宋体"/>
                      <w:color w:val="000000"/>
                      <w:kern w:val="0"/>
                      <w:szCs w:val="21"/>
                    </w:rPr>
                  </w:pPr>
                  <w:r w:rsidRPr="00970B64">
                    <w:rPr>
                      <w:rFonts w:ascii="宋体" w:eastAsia="宋体" w:hAnsi="宋体" w:cs="宋体" w:hint="eastAsia"/>
                      <w:b/>
                      <w:color w:val="000000"/>
                      <w:kern w:val="0"/>
                      <w:szCs w:val="21"/>
                    </w:rPr>
                    <w:t>备           注</w:t>
                  </w:r>
                </w:p>
              </w:tc>
            </w:tr>
            <w:tr w:rsidR="00970B64" w:rsidRPr="00970B64">
              <w:trPr>
                <w:trHeight w:val="1455"/>
                <w:jc w:val="center"/>
              </w:trPr>
              <w:tc>
                <w:tcPr>
                  <w:tcW w:w="733" w:type="dxa"/>
                  <w:tcBorders>
                    <w:top w:val="single" w:sz="4" w:space="0" w:color="auto"/>
                    <w:left w:val="single" w:sz="4" w:space="0" w:color="auto"/>
                    <w:bottom w:val="single" w:sz="4" w:space="0" w:color="auto"/>
                    <w:right w:val="single" w:sz="4" w:space="0" w:color="auto"/>
                  </w:tcBorders>
                  <w:vAlign w:val="center"/>
                  <w:hideMark/>
                </w:tcPr>
                <w:p w:rsidR="00970B64" w:rsidRPr="00970B64" w:rsidRDefault="00970B64" w:rsidP="00970B64">
                  <w:pPr>
                    <w:widowControl/>
                    <w:spacing w:line="360" w:lineRule="auto"/>
                    <w:jc w:val="center"/>
                    <w:rPr>
                      <w:rFonts w:ascii="ˎ̥" w:eastAsia="宋体" w:hAnsi="ˎ̥" w:cs="宋体"/>
                      <w:color w:val="000000"/>
                      <w:kern w:val="0"/>
                      <w:szCs w:val="21"/>
                    </w:rPr>
                  </w:pPr>
                  <w:r w:rsidRPr="00970B64">
                    <w:rPr>
                      <w:rFonts w:ascii="宋体" w:eastAsia="宋体" w:hAnsi="宋体" w:cs="宋体" w:hint="eastAsia"/>
                      <w:color w:val="000000"/>
                      <w:kern w:val="0"/>
                      <w:szCs w:val="21"/>
                    </w:rPr>
                    <w:t>1</w:t>
                  </w:r>
                </w:p>
              </w:tc>
              <w:tc>
                <w:tcPr>
                  <w:tcW w:w="1402" w:type="dxa"/>
                  <w:tcBorders>
                    <w:top w:val="single" w:sz="4" w:space="0" w:color="auto"/>
                    <w:left w:val="single" w:sz="4" w:space="0" w:color="auto"/>
                    <w:bottom w:val="single" w:sz="4" w:space="0" w:color="auto"/>
                    <w:right w:val="single" w:sz="4" w:space="0" w:color="auto"/>
                  </w:tcBorders>
                  <w:vAlign w:val="center"/>
                  <w:hideMark/>
                </w:tcPr>
                <w:p w:rsidR="00970B64" w:rsidRPr="00970B64" w:rsidRDefault="00970B64" w:rsidP="00970B64">
                  <w:pPr>
                    <w:widowControl/>
                    <w:spacing w:line="360" w:lineRule="auto"/>
                    <w:jc w:val="center"/>
                    <w:rPr>
                      <w:rFonts w:ascii="ˎ̥" w:eastAsia="宋体" w:hAnsi="ˎ̥" w:cs="宋体"/>
                      <w:color w:val="000000"/>
                      <w:kern w:val="0"/>
                      <w:szCs w:val="21"/>
                    </w:rPr>
                  </w:pPr>
                  <w:r w:rsidRPr="00970B64">
                    <w:rPr>
                      <w:rFonts w:ascii="宋体" w:eastAsia="宋体" w:hAnsi="宋体" w:cs="宋体" w:hint="eastAsia"/>
                      <w:color w:val="000000"/>
                      <w:kern w:val="0"/>
                      <w:szCs w:val="21"/>
                    </w:rPr>
                    <w:t>国际旅费</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0B64" w:rsidRPr="00970B64" w:rsidRDefault="00970B64" w:rsidP="00970B64">
                  <w:pPr>
                    <w:widowControl/>
                    <w:spacing w:line="360" w:lineRule="auto"/>
                    <w:jc w:val="center"/>
                    <w:rPr>
                      <w:rFonts w:ascii="ˎ̥" w:eastAsia="宋体" w:hAnsi="ˎ̥" w:cs="宋体"/>
                      <w:color w:val="000000"/>
                      <w:kern w:val="0"/>
                      <w:szCs w:val="21"/>
                    </w:rPr>
                  </w:pPr>
                  <w:r w:rsidRPr="00970B64">
                    <w:rPr>
                      <w:rFonts w:ascii="宋体" w:eastAsia="宋体" w:hAnsi="宋体" w:cs="宋体" w:hint="eastAsia"/>
                      <w:color w:val="000000"/>
                      <w:kern w:val="0"/>
                      <w:szCs w:val="21"/>
                    </w:rPr>
                    <w:t>经济舱</w:t>
                  </w:r>
                </w:p>
              </w:tc>
              <w:tc>
                <w:tcPr>
                  <w:tcW w:w="1620" w:type="dxa"/>
                  <w:tcBorders>
                    <w:top w:val="single" w:sz="4" w:space="0" w:color="auto"/>
                    <w:left w:val="single" w:sz="4" w:space="0" w:color="auto"/>
                    <w:bottom w:val="single" w:sz="4" w:space="0" w:color="auto"/>
                    <w:right w:val="single" w:sz="4" w:space="0" w:color="auto"/>
                  </w:tcBorders>
                  <w:vAlign w:val="center"/>
                  <w:hideMark/>
                </w:tcPr>
                <w:p w:rsidR="00970B64" w:rsidRPr="00970B64" w:rsidRDefault="00970B64" w:rsidP="00970B64">
                  <w:pPr>
                    <w:widowControl/>
                    <w:spacing w:line="360" w:lineRule="auto"/>
                    <w:jc w:val="center"/>
                    <w:rPr>
                      <w:rFonts w:ascii="ˎ̥" w:eastAsia="宋体" w:hAnsi="ˎ̥" w:cs="宋体"/>
                      <w:color w:val="000000"/>
                      <w:kern w:val="0"/>
                      <w:szCs w:val="21"/>
                    </w:rPr>
                  </w:pPr>
                  <w:r w:rsidRPr="00970B64">
                    <w:rPr>
                      <w:rFonts w:ascii="宋体" w:eastAsia="宋体" w:hAnsi="宋体" w:cs="宋体" w:hint="eastAsia"/>
                      <w:color w:val="000000"/>
                      <w:kern w:val="0"/>
                      <w:szCs w:val="21"/>
                    </w:rPr>
                    <w:t>15,000</w:t>
                  </w:r>
                </w:p>
              </w:tc>
              <w:tc>
                <w:tcPr>
                  <w:tcW w:w="7200" w:type="dxa"/>
                  <w:tcBorders>
                    <w:top w:val="single" w:sz="4" w:space="0" w:color="auto"/>
                    <w:left w:val="single" w:sz="4" w:space="0" w:color="auto"/>
                    <w:bottom w:val="single" w:sz="4" w:space="0" w:color="auto"/>
                    <w:right w:val="single" w:sz="4" w:space="0" w:color="auto"/>
                  </w:tcBorders>
                  <w:vAlign w:val="center"/>
                  <w:hideMark/>
                </w:tcPr>
                <w:p w:rsidR="00970B64" w:rsidRPr="00970B64" w:rsidRDefault="00970B64" w:rsidP="00970B64">
                  <w:pPr>
                    <w:widowControl/>
                    <w:spacing w:line="360" w:lineRule="auto"/>
                    <w:jc w:val="left"/>
                    <w:rPr>
                      <w:rFonts w:ascii="ˎ̥" w:eastAsia="宋体" w:hAnsi="ˎ̥" w:cs="宋体"/>
                      <w:color w:val="000000"/>
                      <w:kern w:val="0"/>
                      <w:szCs w:val="21"/>
                    </w:rPr>
                  </w:pPr>
                  <w:r w:rsidRPr="00970B64">
                    <w:rPr>
                      <w:rFonts w:ascii="宋体" w:eastAsia="宋体" w:hAnsi="宋体" w:cs="宋体" w:hint="eastAsia"/>
                      <w:color w:val="000000"/>
                      <w:kern w:val="0"/>
                      <w:szCs w:val="21"/>
                    </w:rPr>
                    <w:t>资助标准内实报实销一次往返经济舱国际机票费用或其他交通费用。</w:t>
                  </w:r>
                </w:p>
              </w:tc>
            </w:tr>
            <w:tr w:rsidR="00970B64" w:rsidRPr="00970B64">
              <w:trPr>
                <w:trHeight w:val="1455"/>
                <w:jc w:val="center"/>
              </w:trPr>
              <w:tc>
                <w:tcPr>
                  <w:tcW w:w="733" w:type="dxa"/>
                  <w:tcBorders>
                    <w:top w:val="single" w:sz="4" w:space="0" w:color="auto"/>
                    <w:left w:val="single" w:sz="4" w:space="0" w:color="auto"/>
                    <w:bottom w:val="single" w:sz="4" w:space="0" w:color="auto"/>
                    <w:right w:val="single" w:sz="4" w:space="0" w:color="auto"/>
                  </w:tcBorders>
                  <w:vAlign w:val="center"/>
                  <w:hideMark/>
                </w:tcPr>
                <w:p w:rsidR="00970B64" w:rsidRPr="00970B64" w:rsidRDefault="00970B64" w:rsidP="00970B64">
                  <w:pPr>
                    <w:widowControl/>
                    <w:spacing w:line="360" w:lineRule="auto"/>
                    <w:jc w:val="center"/>
                    <w:rPr>
                      <w:rFonts w:ascii="ˎ̥" w:eastAsia="宋体" w:hAnsi="ˎ̥" w:cs="宋体"/>
                      <w:color w:val="000000"/>
                      <w:kern w:val="0"/>
                      <w:szCs w:val="21"/>
                    </w:rPr>
                  </w:pPr>
                  <w:r w:rsidRPr="00970B64">
                    <w:rPr>
                      <w:rFonts w:ascii="宋体" w:eastAsia="宋体" w:hAnsi="宋体" w:cs="宋体" w:hint="eastAsia"/>
                      <w:color w:val="000000"/>
                      <w:kern w:val="0"/>
                      <w:szCs w:val="21"/>
                    </w:rPr>
                    <w:t>2</w:t>
                  </w:r>
                </w:p>
              </w:tc>
              <w:tc>
                <w:tcPr>
                  <w:tcW w:w="1402" w:type="dxa"/>
                  <w:tcBorders>
                    <w:top w:val="single" w:sz="4" w:space="0" w:color="auto"/>
                    <w:left w:val="single" w:sz="4" w:space="0" w:color="auto"/>
                    <w:bottom w:val="single" w:sz="4" w:space="0" w:color="auto"/>
                    <w:right w:val="single" w:sz="4" w:space="0" w:color="auto"/>
                  </w:tcBorders>
                  <w:vAlign w:val="center"/>
                  <w:hideMark/>
                </w:tcPr>
                <w:p w:rsidR="00970B64" w:rsidRPr="00970B64" w:rsidRDefault="00970B64" w:rsidP="00970B64">
                  <w:pPr>
                    <w:widowControl/>
                    <w:spacing w:line="360" w:lineRule="auto"/>
                    <w:jc w:val="center"/>
                    <w:rPr>
                      <w:rFonts w:ascii="ˎ̥" w:eastAsia="宋体" w:hAnsi="ˎ̥" w:cs="宋体"/>
                      <w:color w:val="000000"/>
                      <w:kern w:val="0"/>
                      <w:szCs w:val="21"/>
                    </w:rPr>
                  </w:pPr>
                  <w:r w:rsidRPr="00970B64">
                    <w:rPr>
                      <w:rFonts w:ascii="宋体" w:eastAsia="宋体" w:hAnsi="宋体" w:cs="宋体" w:hint="eastAsia"/>
                      <w:color w:val="000000"/>
                      <w:kern w:val="0"/>
                      <w:szCs w:val="21"/>
                    </w:rPr>
                    <w:t>专家零用费</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0B64" w:rsidRPr="00970B64" w:rsidRDefault="00970B64" w:rsidP="00970B64">
                  <w:pPr>
                    <w:widowControl/>
                    <w:spacing w:line="360" w:lineRule="auto"/>
                    <w:jc w:val="center"/>
                    <w:rPr>
                      <w:rFonts w:ascii="ˎ̥" w:eastAsia="宋体" w:hAnsi="ˎ̥" w:cs="宋体"/>
                      <w:color w:val="000000"/>
                      <w:kern w:val="0"/>
                      <w:szCs w:val="21"/>
                    </w:rPr>
                  </w:pPr>
                  <w:r w:rsidRPr="00970B64">
                    <w:rPr>
                      <w:rFonts w:ascii="宋体" w:eastAsia="宋体" w:hAnsi="宋体" w:cs="宋体" w:hint="eastAsia"/>
                      <w:color w:val="000000"/>
                      <w:kern w:val="0"/>
                      <w:szCs w:val="21"/>
                    </w:rPr>
                    <w:t>200-300/天</w:t>
                  </w:r>
                </w:p>
              </w:tc>
              <w:tc>
                <w:tcPr>
                  <w:tcW w:w="1620" w:type="dxa"/>
                  <w:tcBorders>
                    <w:top w:val="single" w:sz="4" w:space="0" w:color="auto"/>
                    <w:left w:val="single" w:sz="4" w:space="0" w:color="auto"/>
                    <w:bottom w:val="single" w:sz="4" w:space="0" w:color="auto"/>
                    <w:right w:val="single" w:sz="4" w:space="0" w:color="auto"/>
                  </w:tcBorders>
                  <w:vAlign w:val="center"/>
                  <w:hideMark/>
                </w:tcPr>
                <w:p w:rsidR="00970B64" w:rsidRPr="00970B64" w:rsidRDefault="00970B64" w:rsidP="00970B64">
                  <w:pPr>
                    <w:widowControl/>
                    <w:spacing w:line="360" w:lineRule="auto"/>
                    <w:jc w:val="center"/>
                    <w:rPr>
                      <w:rFonts w:ascii="ˎ̥" w:eastAsia="宋体" w:hAnsi="ˎ̥" w:cs="宋体"/>
                      <w:color w:val="000000"/>
                      <w:kern w:val="0"/>
                      <w:szCs w:val="21"/>
                    </w:rPr>
                  </w:pPr>
                  <w:r w:rsidRPr="00970B64">
                    <w:rPr>
                      <w:rFonts w:ascii="宋体" w:eastAsia="宋体" w:hAnsi="宋体" w:cs="宋体" w:hint="eastAsia"/>
                      <w:color w:val="000000"/>
                      <w:kern w:val="0"/>
                      <w:szCs w:val="21"/>
                    </w:rPr>
                    <w:t>9,000</w:t>
                  </w:r>
                </w:p>
              </w:tc>
              <w:tc>
                <w:tcPr>
                  <w:tcW w:w="7200" w:type="dxa"/>
                  <w:tcBorders>
                    <w:top w:val="single" w:sz="4" w:space="0" w:color="auto"/>
                    <w:left w:val="single" w:sz="4" w:space="0" w:color="auto"/>
                    <w:bottom w:val="single" w:sz="4" w:space="0" w:color="auto"/>
                    <w:right w:val="single" w:sz="4" w:space="0" w:color="auto"/>
                  </w:tcBorders>
                  <w:vAlign w:val="center"/>
                  <w:hideMark/>
                </w:tcPr>
                <w:p w:rsidR="00970B64" w:rsidRPr="00970B64" w:rsidRDefault="00970B64" w:rsidP="00970B64">
                  <w:pPr>
                    <w:widowControl/>
                    <w:spacing w:line="360" w:lineRule="auto"/>
                    <w:jc w:val="left"/>
                    <w:rPr>
                      <w:rFonts w:ascii="ˎ̥" w:eastAsia="宋体" w:hAnsi="ˎ̥" w:cs="宋体"/>
                      <w:color w:val="000000"/>
                      <w:kern w:val="0"/>
                      <w:szCs w:val="21"/>
                    </w:rPr>
                  </w:pPr>
                  <w:r w:rsidRPr="00970B64">
                    <w:rPr>
                      <w:rFonts w:ascii="宋体" w:eastAsia="宋体" w:hAnsi="宋体" w:cs="宋体" w:hint="eastAsia"/>
                      <w:color w:val="000000"/>
                      <w:kern w:val="0"/>
                      <w:szCs w:val="21"/>
                    </w:rPr>
                    <w:t>最多资助天数为30天，超出部分由专家聘请单位支付。</w:t>
                  </w:r>
                </w:p>
              </w:tc>
            </w:tr>
            <w:tr w:rsidR="00970B64" w:rsidRPr="00970B64">
              <w:trPr>
                <w:trHeight w:val="1455"/>
                <w:jc w:val="center"/>
              </w:trPr>
              <w:tc>
                <w:tcPr>
                  <w:tcW w:w="733" w:type="dxa"/>
                  <w:tcBorders>
                    <w:top w:val="single" w:sz="4" w:space="0" w:color="auto"/>
                    <w:left w:val="single" w:sz="4" w:space="0" w:color="auto"/>
                    <w:bottom w:val="single" w:sz="4" w:space="0" w:color="auto"/>
                    <w:right w:val="single" w:sz="4" w:space="0" w:color="auto"/>
                  </w:tcBorders>
                  <w:vAlign w:val="center"/>
                  <w:hideMark/>
                </w:tcPr>
                <w:p w:rsidR="00970B64" w:rsidRPr="00970B64" w:rsidRDefault="00970B64" w:rsidP="00970B64">
                  <w:pPr>
                    <w:widowControl/>
                    <w:spacing w:line="360" w:lineRule="auto"/>
                    <w:jc w:val="center"/>
                    <w:rPr>
                      <w:rFonts w:ascii="ˎ̥" w:eastAsia="宋体" w:hAnsi="ˎ̥" w:cs="宋体"/>
                      <w:color w:val="000000"/>
                      <w:kern w:val="0"/>
                      <w:szCs w:val="21"/>
                    </w:rPr>
                  </w:pPr>
                  <w:r w:rsidRPr="00970B64">
                    <w:rPr>
                      <w:rFonts w:ascii="宋体" w:eastAsia="宋体" w:hAnsi="宋体" w:cs="宋体" w:hint="eastAsia"/>
                      <w:color w:val="000000"/>
                      <w:kern w:val="0"/>
                      <w:szCs w:val="21"/>
                    </w:rPr>
                    <w:t>3</w:t>
                  </w:r>
                </w:p>
              </w:tc>
              <w:tc>
                <w:tcPr>
                  <w:tcW w:w="1402" w:type="dxa"/>
                  <w:tcBorders>
                    <w:top w:val="single" w:sz="4" w:space="0" w:color="auto"/>
                    <w:left w:val="single" w:sz="4" w:space="0" w:color="auto"/>
                    <w:bottom w:val="single" w:sz="4" w:space="0" w:color="auto"/>
                    <w:right w:val="single" w:sz="4" w:space="0" w:color="auto"/>
                  </w:tcBorders>
                  <w:vAlign w:val="center"/>
                  <w:hideMark/>
                </w:tcPr>
                <w:p w:rsidR="00970B64" w:rsidRPr="00970B64" w:rsidRDefault="00970B64" w:rsidP="00970B64">
                  <w:pPr>
                    <w:widowControl/>
                    <w:spacing w:line="360" w:lineRule="auto"/>
                    <w:jc w:val="center"/>
                    <w:rPr>
                      <w:rFonts w:ascii="ˎ̥" w:eastAsia="宋体" w:hAnsi="ˎ̥" w:cs="宋体"/>
                      <w:color w:val="000000"/>
                      <w:kern w:val="0"/>
                      <w:szCs w:val="21"/>
                    </w:rPr>
                  </w:pPr>
                  <w:r w:rsidRPr="00970B64">
                    <w:rPr>
                      <w:rFonts w:ascii="宋体" w:eastAsia="宋体" w:hAnsi="宋体" w:cs="宋体" w:hint="eastAsia"/>
                      <w:color w:val="000000"/>
                      <w:kern w:val="0"/>
                      <w:szCs w:val="21"/>
                    </w:rPr>
                    <w:t>专家生活费</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0B64" w:rsidRPr="00970B64" w:rsidRDefault="00970B64" w:rsidP="00970B64">
                  <w:pPr>
                    <w:widowControl/>
                    <w:spacing w:line="360" w:lineRule="auto"/>
                    <w:jc w:val="center"/>
                    <w:rPr>
                      <w:rFonts w:ascii="ˎ̥" w:eastAsia="宋体" w:hAnsi="ˎ̥" w:cs="宋体"/>
                      <w:color w:val="000000"/>
                      <w:kern w:val="0"/>
                      <w:szCs w:val="21"/>
                    </w:rPr>
                  </w:pPr>
                  <w:r w:rsidRPr="00970B64">
                    <w:rPr>
                      <w:rFonts w:ascii="宋体" w:eastAsia="宋体" w:hAnsi="宋体" w:cs="宋体" w:hint="eastAsia"/>
                      <w:color w:val="000000"/>
                      <w:kern w:val="0"/>
                      <w:szCs w:val="21"/>
                    </w:rPr>
                    <w:t>600/天</w:t>
                  </w:r>
                </w:p>
              </w:tc>
              <w:tc>
                <w:tcPr>
                  <w:tcW w:w="1620" w:type="dxa"/>
                  <w:tcBorders>
                    <w:top w:val="single" w:sz="4" w:space="0" w:color="auto"/>
                    <w:left w:val="single" w:sz="4" w:space="0" w:color="auto"/>
                    <w:bottom w:val="single" w:sz="4" w:space="0" w:color="auto"/>
                    <w:right w:val="single" w:sz="4" w:space="0" w:color="auto"/>
                  </w:tcBorders>
                  <w:vAlign w:val="center"/>
                  <w:hideMark/>
                </w:tcPr>
                <w:p w:rsidR="00970B64" w:rsidRPr="00970B64" w:rsidRDefault="00970B64" w:rsidP="00970B64">
                  <w:pPr>
                    <w:widowControl/>
                    <w:spacing w:line="360" w:lineRule="auto"/>
                    <w:jc w:val="center"/>
                    <w:rPr>
                      <w:rFonts w:ascii="ˎ̥" w:eastAsia="宋体" w:hAnsi="ˎ̥" w:cs="宋体"/>
                      <w:color w:val="000000"/>
                      <w:kern w:val="0"/>
                      <w:szCs w:val="21"/>
                    </w:rPr>
                  </w:pPr>
                  <w:r w:rsidRPr="00970B64">
                    <w:rPr>
                      <w:rFonts w:ascii="宋体" w:eastAsia="宋体" w:hAnsi="宋体" w:cs="宋体" w:hint="eastAsia"/>
                      <w:color w:val="000000"/>
                      <w:kern w:val="0"/>
                      <w:szCs w:val="21"/>
                    </w:rPr>
                    <w:t>18,000</w:t>
                  </w:r>
                </w:p>
              </w:tc>
              <w:tc>
                <w:tcPr>
                  <w:tcW w:w="7200" w:type="dxa"/>
                  <w:tcBorders>
                    <w:top w:val="single" w:sz="4" w:space="0" w:color="auto"/>
                    <w:left w:val="single" w:sz="4" w:space="0" w:color="auto"/>
                    <w:bottom w:val="single" w:sz="4" w:space="0" w:color="auto"/>
                    <w:right w:val="single" w:sz="4" w:space="0" w:color="auto"/>
                  </w:tcBorders>
                  <w:vAlign w:val="center"/>
                  <w:hideMark/>
                </w:tcPr>
                <w:p w:rsidR="00970B64" w:rsidRPr="00970B64" w:rsidRDefault="00970B64" w:rsidP="00970B64">
                  <w:pPr>
                    <w:widowControl/>
                    <w:spacing w:line="360" w:lineRule="auto"/>
                    <w:jc w:val="left"/>
                    <w:rPr>
                      <w:rFonts w:ascii="ˎ̥" w:eastAsia="宋体" w:hAnsi="ˎ̥" w:cs="宋体"/>
                      <w:color w:val="000000"/>
                      <w:kern w:val="0"/>
                      <w:szCs w:val="21"/>
                    </w:rPr>
                  </w:pPr>
                  <w:r w:rsidRPr="00970B64">
                    <w:rPr>
                      <w:rFonts w:ascii="宋体" w:eastAsia="宋体" w:hAnsi="宋体" w:cs="宋体" w:hint="eastAsia"/>
                      <w:color w:val="000000"/>
                      <w:kern w:val="0"/>
                      <w:szCs w:val="21"/>
                    </w:rPr>
                    <w:t>最多资助天数为30天，超出部分由专家聘请单位支付。</w:t>
                  </w:r>
                </w:p>
              </w:tc>
            </w:tr>
            <w:tr w:rsidR="00970B64" w:rsidRPr="00970B64">
              <w:trPr>
                <w:trHeight w:val="1455"/>
                <w:jc w:val="center"/>
              </w:trPr>
              <w:tc>
                <w:tcPr>
                  <w:tcW w:w="733" w:type="dxa"/>
                  <w:tcBorders>
                    <w:top w:val="single" w:sz="4" w:space="0" w:color="auto"/>
                    <w:left w:val="single" w:sz="4" w:space="0" w:color="auto"/>
                    <w:bottom w:val="single" w:sz="4" w:space="0" w:color="auto"/>
                    <w:right w:val="single" w:sz="4" w:space="0" w:color="auto"/>
                  </w:tcBorders>
                  <w:vAlign w:val="center"/>
                  <w:hideMark/>
                </w:tcPr>
                <w:p w:rsidR="00970B64" w:rsidRPr="00970B64" w:rsidRDefault="00970B64" w:rsidP="00970B64">
                  <w:pPr>
                    <w:widowControl/>
                    <w:spacing w:line="360" w:lineRule="auto"/>
                    <w:jc w:val="center"/>
                    <w:rPr>
                      <w:rFonts w:ascii="ˎ̥" w:eastAsia="宋体" w:hAnsi="ˎ̥" w:cs="宋体"/>
                      <w:color w:val="000000"/>
                      <w:kern w:val="0"/>
                      <w:szCs w:val="21"/>
                    </w:rPr>
                  </w:pPr>
                  <w:r w:rsidRPr="00970B64">
                    <w:rPr>
                      <w:rFonts w:ascii="宋体" w:eastAsia="宋体" w:hAnsi="宋体" w:cs="宋体" w:hint="eastAsia"/>
                      <w:color w:val="000000"/>
                      <w:kern w:val="0"/>
                      <w:szCs w:val="21"/>
                    </w:rPr>
                    <w:t>4</w:t>
                  </w:r>
                </w:p>
              </w:tc>
              <w:tc>
                <w:tcPr>
                  <w:tcW w:w="1402" w:type="dxa"/>
                  <w:tcBorders>
                    <w:top w:val="single" w:sz="4" w:space="0" w:color="auto"/>
                    <w:left w:val="single" w:sz="4" w:space="0" w:color="auto"/>
                    <w:bottom w:val="single" w:sz="4" w:space="0" w:color="auto"/>
                    <w:right w:val="single" w:sz="4" w:space="0" w:color="auto"/>
                  </w:tcBorders>
                  <w:vAlign w:val="center"/>
                  <w:hideMark/>
                </w:tcPr>
                <w:p w:rsidR="00970B64" w:rsidRPr="00970B64" w:rsidRDefault="00970B64" w:rsidP="00970B64">
                  <w:pPr>
                    <w:widowControl/>
                    <w:spacing w:line="360" w:lineRule="auto"/>
                    <w:jc w:val="center"/>
                    <w:rPr>
                      <w:rFonts w:ascii="ˎ̥" w:eastAsia="宋体" w:hAnsi="ˎ̥" w:cs="宋体"/>
                      <w:color w:val="000000"/>
                      <w:kern w:val="0"/>
                      <w:szCs w:val="21"/>
                    </w:rPr>
                  </w:pPr>
                  <w:r w:rsidRPr="00970B64">
                    <w:rPr>
                      <w:rFonts w:ascii="宋体" w:eastAsia="宋体" w:hAnsi="宋体" w:cs="宋体" w:hint="eastAsia"/>
                      <w:color w:val="000000"/>
                      <w:kern w:val="0"/>
                      <w:szCs w:val="21"/>
                    </w:rPr>
                    <w:t>城市间交通费</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0B64" w:rsidRPr="00970B64" w:rsidRDefault="00970B64" w:rsidP="00970B64">
                  <w:pPr>
                    <w:widowControl/>
                    <w:spacing w:line="360" w:lineRule="auto"/>
                    <w:jc w:val="center"/>
                    <w:rPr>
                      <w:rFonts w:ascii="ˎ̥" w:eastAsia="宋体" w:hAnsi="ˎ̥" w:cs="宋体"/>
                      <w:color w:val="000000"/>
                      <w:kern w:val="0"/>
                      <w:szCs w:val="21"/>
                    </w:rPr>
                  </w:pPr>
                  <w:r w:rsidRPr="00970B64">
                    <w:rPr>
                      <w:rFonts w:ascii="ˎ̥" w:eastAsia="宋体" w:hAnsi="ˎ̥" w:cs="宋体"/>
                      <w:color w:val="000000"/>
                      <w:kern w:val="0"/>
                      <w:szCs w:val="21"/>
                    </w:rPr>
                    <w:t> </w:t>
                  </w:r>
                </w:p>
              </w:tc>
              <w:tc>
                <w:tcPr>
                  <w:tcW w:w="1620" w:type="dxa"/>
                  <w:tcBorders>
                    <w:top w:val="single" w:sz="4" w:space="0" w:color="auto"/>
                    <w:left w:val="single" w:sz="4" w:space="0" w:color="auto"/>
                    <w:bottom w:val="single" w:sz="4" w:space="0" w:color="auto"/>
                    <w:right w:val="single" w:sz="4" w:space="0" w:color="auto"/>
                  </w:tcBorders>
                  <w:vAlign w:val="center"/>
                  <w:hideMark/>
                </w:tcPr>
                <w:p w:rsidR="00970B64" w:rsidRPr="00970B64" w:rsidRDefault="00970B64" w:rsidP="00970B64">
                  <w:pPr>
                    <w:widowControl/>
                    <w:spacing w:line="360" w:lineRule="auto"/>
                    <w:jc w:val="center"/>
                    <w:rPr>
                      <w:rFonts w:ascii="ˎ̥" w:eastAsia="宋体" w:hAnsi="ˎ̥" w:cs="宋体"/>
                      <w:color w:val="000000"/>
                      <w:kern w:val="0"/>
                      <w:szCs w:val="21"/>
                    </w:rPr>
                  </w:pPr>
                  <w:r w:rsidRPr="00970B64">
                    <w:rPr>
                      <w:rFonts w:ascii="宋体" w:eastAsia="宋体" w:hAnsi="宋体" w:cs="宋体" w:hint="eastAsia"/>
                      <w:color w:val="000000"/>
                      <w:kern w:val="0"/>
                      <w:szCs w:val="21"/>
                    </w:rPr>
                    <w:t>3,000</w:t>
                  </w:r>
                </w:p>
              </w:tc>
              <w:tc>
                <w:tcPr>
                  <w:tcW w:w="7200" w:type="dxa"/>
                  <w:tcBorders>
                    <w:top w:val="single" w:sz="4" w:space="0" w:color="auto"/>
                    <w:left w:val="single" w:sz="4" w:space="0" w:color="auto"/>
                    <w:bottom w:val="single" w:sz="4" w:space="0" w:color="auto"/>
                    <w:right w:val="single" w:sz="4" w:space="0" w:color="auto"/>
                  </w:tcBorders>
                  <w:vAlign w:val="center"/>
                  <w:hideMark/>
                </w:tcPr>
                <w:p w:rsidR="00970B64" w:rsidRPr="00970B64" w:rsidRDefault="00970B64" w:rsidP="00970B64">
                  <w:pPr>
                    <w:widowControl/>
                    <w:spacing w:line="360" w:lineRule="auto"/>
                    <w:jc w:val="left"/>
                    <w:rPr>
                      <w:rFonts w:ascii="ˎ̥" w:eastAsia="宋体" w:hAnsi="ˎ̥" w:cs="宋体"/>
                      <w:color w:val="000000"/>
                      <w:kern w:val="0"/>
                      <w:szCs w:val="21"/>
                    </w:rPr>
                  </w:pPr>
                  <w:r w:rsidRPr="00970B64">
                    <w:rPr>
                      <w:rFonts w:ascii="宋体" w:eastAsia="宋体" w:hAnsi="宋体" w:cs="宋体" w:hint="eastAsia"/>
                      <w:color w:val="000000"/>
                      <w:kern w:val="0"/>
                      <w:szCs w:val="21"/>
                    </w:rPr>
                    <w:t>资助标准内实报实销入（出）</w:t>
                  </w:r>
                  <w:proofErr w:type="gramStart"/>
                  <w:r w:rsidRPr="00970B64">
                    <w:rPr>
                      <w:rFonts w:ascii="宋体" w:eastAsia="宋体" w:hAnsi="宋体" w:cs="宋体" w:hint="eastAsia"/>
                      <w:color w:val="000000"/>
                      <w:kern w:val="0"/>
                      <w:szCs w:val="21"/>
                    </w:rPr>
                    <w:t>境口岸</w:t>
                  </w:r>
                  <w:proofErr w:type="gramEnd"/>
                  <w:r w:rsidRPr="00970B64">
                    <w:rPr>
                      <w:rFonts w:ascii="宋体" w:eastAsia="宋体" w:hAnsi="宋体" w:cs="宋体" w:hint="eastAsia"/>
                      <w:color w:val="000000"/>
                      <w:kern w:val="0"/>
                      <w:szCs w:val="21"/>
                    </w:rPr>
                    <w:t>至工作城市一次往返中国境内交通费。</w:t>
                  </w:r>
                </w:p>
              </w:tc>
            </w:tr>
            <w:tr w:rsidR="00970B64" w:rsidRPr="00970B64">
              <w:trPr>
                <w:trHeight w:val="1455"/>
                <w:jc w:val="center"/>
              </w:trPr>
              <w:tc>
                <w:tcPr>
                  <w:tcW w:w="733" w:type="dxa"/>
                  <w:tcBorders>
                    <w:top w:val="single" w:sz="4" w:space="0" w:color="auto"/>
                    <w:left w:val="single" w:sz="4" w:space="0" w:color="auto"/>
                    <w:bottom w:val="single" w:sz="4" w:space="0" w:color="auto"/>
                    <w:right w:val="single" w:sz="4" w:space="0" w:color="auto"/>
                  </w:tcBorders>
                  <w:vAlign w:val="center"/>
                  <w:hideMark/>
                </w:tcPr>
                <w:p w:rsidR="00970B64" w:rsidRPr="00970B64" w:rsidRDefault="00970B64" w:rsidP="00970B64">
                  <w:pPr>
                    <w:widowControl/>
                    <w:spacing w:line="360" w:lineRule="auto"/>
                    <w:jc w:val="center"/>
                    <w:rPr>
                      <w:rFonts w:ascii="ˎ̥" w:eastAsia="宋体" w:hAnsi="ˎ̥" w:cs="宋体"/>
                      <w:color w:val="000000"/>
                      <w:kern w:val="0"/>
                      <w:szCs w:val="21"/>
                    </w:rPr>
                  </w:pPr>
                  <w:r w:rsidRPr="00970B64">
                    <w:rPr>
                      <w:rFonts w:ascii="宋体" w:eastAsia="宋体" w:hAnsi="宋体" w:cs="宋体" w:hint="eastAsia"/>
                      <w:color w:val="000000"/>
                      <w:kern w:val="0"/>
                      <w:szCs w:val="21"/>
                    </w:rPr>
                    <w:t>5</w:t>
                  </w:r>
                </w:p>
              </w:tc>
              <w:tc>
                <w:tcPr>
                  <w:tcW w:w="1402" w:type="dxa"/>
                  <w:tcBorders>
                    <w:top w:val="single" w:sz="4" w:space="0" w:color="auto"/>
                    <w:left w:val="single" w:sz="4" w:space="0" w:color="auto"/>
                    <w:bottom w:val="single" w:sz="4" w:space="0" w:color="auto"/>
                    <w:right w:val="single" w:sz="4" w:space="0" w:color="auto"/>
                  </w:tcBorders>
                  <w:vAlign w:val="center"/>
                  <w:hideMark/>
                </w:tcPr>
                <w:p w:rsidR="00970B64" w:rsidRPr="00970B64" w:rsidRDefault="00970B64" w:rsidP="00970B64">
                  <w:pPr>
                    <w:widowControl/>
                    <w:spacing w:line="360" w:lineRule="auto"/>
                    <w:jc w:val="center"/>
                    <w:rPr>
                      <w:rFonts w:ascii="ˎ̥" w:eastAsia="宋体" w:hAnsi="ˎ̥" w:cs="宋体"/>
                      <w:color w:val="000000"/>
                      <w:kern w:val="0"/>
                      <w:szCs w:val="21"/>
                    </w:rPr>
                  </w:pPr>
                  <w:r w:rsidRPr="00970B64">
                    <w:rPr>
                      <w:rFonts w:ascii="宋体" w:eastAsia="宋体" w:hAnsi="宋体" w:cs="宋体" w:hint="eastAsia"/>
                      <w:color w:val="000000"/>
                      <w:kern w:val="0"/>
                      <w:szCs w:val="21"/>
                    </w:rPr>
                    <w:t>其他费用</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0B64" w:rsidRPr="00970B64" w:rsidRDefault="00970B64" w:rsidP="00970B64">
                  <w:pPr>
                    <w:widowControl/>
                    <w:spacing w:line="360" w:lineRule="auto"/>
                    <w:jc w:val="center"/>
                    <w:rPr>
                      <w:rFonts w:ascii="ˎ̥" w:eastAsia="宋体" w:hAnsi="ˎ̥" w:cs="宋体"/>
                      <w:color w:val="000000"/>
                      <w:kern w:val="0"/>
                      <w:szCs w:val="21"/>
                    </w:rPr>
                  </w:pPr>
                  <w:r w:rsidRPr="00970B64">
                    <w:rPr>
                      <w:rFonts w:ascii="ˎ̥" w:eastAsia="宋体" w:hAnsi="ˎ̥" w:cs="宋体"/>
                      <w:color w:val="000000"/>
                      <w:kern w:val="0"/>
                      <w:szCs w:val="21"/>
                    </w:rPr>
                    <w:t> </w:t>
                  </w:r>
                </w:p>
              </w:tc>
              <w:tc>
                <w:tcPr>
                  <w:tcW w:w="1620" w:type="dxa"/>
                  <w:tcBorders>
                    <w:top w:val="single" w:sz="4" w:space="0" w:color="auto"/>
                    <w:left w:val="single" w:sz="4" w:space="0" w:color="auto"/>
                    <w:bottom w:val="single" w:sz="4" w:space="0" w:color="auto"/>
                    <w:right w:val="single" w:sz="4" w:space="0" w:color="auto"/>
                  </w:tcBorders>
                  <w:vAlign w:val="center"/>
                  <w:hideMark/>
                </w:tcPr>
                <w:p w:rsidR="00970B64" w:rsidRPr="00970B64" w:rsidRDefault="00970B64" w:rsidP="00970B64">
                  <w:pPr>
                    <w:widowControl/>
                    <w:spacing w:line="360" w:lineRule="auto"/>
                    <w:jc w:val="center"/>
                    <w:rPr>
                      <w:rFonts w:ascii="ˎ̥" w:eastAsia="宋体" w:hAnsi="ˎ̥" w:cs="宋体"/>
                      <w:color w:val="000000"/>
                      <w:kern w:val="0"/>
                      <w:szCs w:val="21"/>
                    </w:rPr>
                  </w:pPr>
                  <w:r w:rsidRPr="00970B64">
                    <w:rPr>
                      <w:rFonts w:ascii="ˎ̥" w:eastAsia="宋体" w:hAnsi="ˎ̥" w:cs="宋体"/>
                      <w:color w:val="000000"/>
                      <w:kern w:val="0"/>
                      <w:szCs w:val="21"/>
                    </w:rPr>
                    <w:t> </w:t>
                  </w:r>
                </w:p>
              </w:tc>
              <w:tc>
                <w:tcPr>
                  <w:tcW w:w="7200" w:type="dxa"/>
                  <w:tcBorders>
                    <w:top w:val="single" w:sz="4" w:space="0" w:color="auto"/>
                    <w:left w:val="single" w:sz="4" w:space="0" w:color="auto"/>
                    <w:bottom w:val="single" w:sz="4" w:space="0" w:color="auto"/>
                    <w:right w:val="single" w:sz="4" w:space="0" w:color="auto"/>
                  </w:tcBorders>
                  <w:vAlign w:val="center"/>
                  <w:hideMark/>
                </w:tcPr>
                <w:p w:rsidR="00970B64" w:rsidRPr="00970B64" w:rsidRDefault="00970B64" w:rsidP="00970B64">
                  <w:pPr>
                    <w:widowControl/>
                    <w:spacing w:line="360" w:lineRule="auto"/>
                    <w:jc w:val="left"/>
                    <w:rPr>
                      <w:rFonts w:ascii="ˎ̥" w:eastAsia="宋体" w:hAnsi="ˎ̥" w:cs="宋体"/>
                      <w:color w:val="000000"/>
                      <w:kern w:val="0"/>
                      <w:szCs w:val="21"/>
                    </w:rPr>
                  </w:pPr>
                  <w:r w:rsidRPr="00970B64">
                    <w:rPr>
                      <w:rFonts w:ascii="宋体" w:eastAsia="宋体" w:hAnsi="宋体" w:cs="宋体" w:hint="eastAsia"/>
                      <w:color w:val="000000"/>
                      <w:kern w:val="0"/>
                      <w:szCs w:val="21"/>
                    </w:rPr>
                    <w:t>须在项目执行过程中向国家外国专家局提出申请，待批准后方能支付。</w:t>
                  </w:r>
                </w:p>
              </w:tc>
            </w:tr>
            <w:tr w:rsidR="00970B64" w:rsidRPr="00970B64">
              <w:trPr>
                <w:trHeight w:val="1455"/>
                <w:jc w:val="center"/>
              </w:trPr>
              <w:tc>
                <w:tcPr>
                  <w:tcW w:w="733" w:type="dxa"/>
                  <w:tcBorders>
                    <w:top w:val="single" w:sz="4" w:space="0" w:color="auto"/>
                    <w:left w:val="single" w:sz="4" w:space="0" w:color="auto"/>
                    <w:bottom w:val="single" w:sz="4" w:space="0" w:color="auto"/>
                    <w:right w:val="single" w:sz="4" w:space="0" w:color="auto"/>
                  </w:tcBorders>
                  <w:vAlign w:val="center"/>
                  <w:hideMark/>
                </w:tcPr>
                <w:p w:rsidR="00970B64" w:rsidRPr="00970B64" w:rsidRDefault="00970B64" w:rsidP="00970B64">
                  <w:pPr>
                    <w:widowControl/>
                    <w:spacing w:line="360" w:lineRule="auto"/>
                    <w:jc w:val="center"/>
                    <w:rPr>
                      <w:rFonts w:ascii="ˎ̥" w:eastAsia="宋体" w:hAnsi="ˎ̥" w:cs="宋体"/>
                      <w:color w:val="000000"/>
                      <w:kern w:val="0"/>
                      <w:szCs w:val="21"/>
                    </w:rPr>
                  </w:pPr>
                  <w:r w:rsidRPr="00970B64">
                    <w:rPr>
                      <w:rFonts w:ascii="ˎ̥" w:eastAsia="宋体" w:hAnsi="ˎ̥" w:cs="宋体"/>
                      <w:color w:val="000000"/>
                      <w:kern w:val="0"/>
                      <w:szCs w:val="21"/>
                    </w:rPr>
                    <w:t> </w:t>
                  </w:r>
                </w:p>
              </w:tc>
              <w:tc>
                <w:tcPr>
                  <w:tcW w:w="1402" w:type="dxa"/>
                  <w:tcBorders>
                    <w:top w:val="single" w:sz="4" w:space="0" w:color="auto"/>
                    <w:left w:val="single" w:sz="4" w:space="0" w:color="auto"/>
                    <w:bottom w:val="single" w:sz="4" w:space="0" w:color="auto"/>
                    <w:right w:val="single" w:sz="4" w:space="0" w:color="auto"/>
                  </w:tcBorders>
                  <w:vAlign w:val="center"/>
                  <w:hideMark/>
                </w:tcPr>
                <w:p w:rsidR="00970B64" w:rsidRPr="00970B64" w:rsidRDefault="00970B64" w:rsidP="00970B64">
                  <w:pPr>
                    <w:widowControl/>
                    <w:spacing w:line="360" w:lineRule="auto"/>
                    <w:jc w:val="center"/>
                    <w:rPr>
                      <w:rFonts w:ascii="ˎ̥" w:eastAsia="宋体" w:hAnsi="ˎ̥" w:cs="宋体"/>
                      <w:color w:val="000000"/>
                      <w:kern w:val="0"/>
                      <w:szCs w:val="21"/>
                    </w:rPr>
                  </w:pPr>
                  <w:r w:rsidRPr="00970B64">
                    <w:rPr>
                      <w:rFonts w:ascii="宋体" w:eastAsia="宋体" w:hAnsi="宋体" w:cs="宋体" w:hint="eastAsia"/>
                      <w:color w:val="000000"/>
                      <w:kern w:val="0"/>
                      <w:szCs w:val="21"/>
                    </w:rPr>
                    <w:t>合计</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0B64" w:rsidRPr="00970B64" w:rsidRDefault="00970B64" w:rsidP="00970B64">
                  <w:pPr>
                    <w:widowControl/>
                    <w:spacing w:line="360" w:lineRule="auto"/>
                    <w:jc w:val="center"/>
                    <w:rPr>
                      <w:rFonts w:ascii="ˎ̥" w:eastAsia="宋体" w:hAnsi="ˎ̥" w:cs="宋体"/>
                      <w:color w:val="000000"/>
                      <w:kern w:val="0"/>
                      <w:szCs w:val="21"/>
                    </w:rPr>
                  </w:pPr>
                  <w:r w:rsidRPr="00970B64">
                    <w:rPr>
                      <w:rFonts w:ascii="ˎ̥" w:eastAsia="宋体" w:hAnsi="ˎ̥" w:cs="宋体"/>
                      <w:color w:val="000000"/>
                      <w:kern w:val="0"/>
                      <w:szCs w:val="21"/>
                    </w:rPr>
                    <w:t> </w:t>
                  </w:r>
                </w:p>
              </w:tc>
              <w:tc>
                <w:tcPr>
                  <w:tcW w:w="1620" w:type="dxa"/>
                  <w:tcBorders>
                    <w:top w:val="single" w:sz="4" w:space="0" w:color="auto"/>
                    <w:left w:val="single" w:sz="4" w:space="0" w:color="auto"/>
                    <w:bottom w:val="single" w:sz="4" w:space="0" w:color="auto"/>
                    <w:right w:val="single" w:sz="4" w:space="0" w:color="auto"/>
                  </w:tcBorders>
                  <w:vAlign w:val="center"/>
                  <w:hideMark/>
                </w:tcPr>
                <w:p w:rsidR="00970B64" w:rsidRPr="00970B64" w:rsidRDefault="00970B64" w:rsidP="00970B64">
                  <w:pPr>
                    <w:widowControl/>
                    <w:spacing w:line="360" w:lineRule="auto"/>
                    <w:jc w:val="center"/>
                    <w:rPr>
                      <w:rFonts w:ascii="ˎ̥" w:eastAsia="宋体" w:hAnsi="ˎ̥" w:cs="宋体"/>
                      <w:color w:val="000000"/>
                      <w:kern w:val="0"/>
                      <w:szCs w:val="21"/>
                    </w:rPr>
                  </w:pPr>
                  <w:r w:rsidRPr="00970B64">
                    <w:rPr>
                      <w:rFonts w:ascii="宋体" w:eastAsia="宋体" w:hAnsi="宋体" w:cs="宋体" w:hint="eastAsia"/>
                      <w:color w:val="000000"/>
                      <w:kern w:val="0"/>
                      <w:szCs w:val="21"/>
                    </w:rPr>
                    <w:t>45,000</w:t>
                  </w:r>
                </w:p>
              </w:tc>
              <w:tc>
                <w:tcPr>
                  <w:tcW w:w="7200" w:type="dxa"/>
                  <w:tcBorders>
                    <w:top w:val="single" w:sz="4" w:space="0" w:color="auto"/>
                    <w:left w:val="single" w:sz="4" w:space="0" w:color="auto"/>
                    <w:bottom w:val="single" w:sz="4" w:space="0" w:color="auto"/>
                    <w:right w:val="single" w:sz="4" w:space="0" w:color="auto"/>
                  </w:tcBorders>
                  <w:vAlign w:val="center"/>
                  <w:hideMark/>
                </w:tcPr>
                <w:p w:rsidR="00970B64" w:rsidRPr="00970B64" w:rsidRDefault="00970B64" w:rsidP="00970B64">
                  <w:pPr>
                    <w:widowControl/>
                    <w:spacing w:line="360" w:lineRule="auto"/>
                    <w:jc w:val="left"/>
                    <w:rPr>
                      <w:rFonts w:ascii="ˎ̥" w:eastAsia="宋体" w:hAnsi="ˎ̥" w:cs="宋体"/>
                      <w:color w:val="000000"/>
                      <w:kern w:val="0"/>
                      <w:szCs w:val="21"/>
                    </w:rPr>
                  </w:pPr>
                  <w:r w:rsidRPr="00970B64">
                    <w:rPr>
                      <w:rFonts w:ascii="宋体" w:eastAsia="宋体" w:hAnsi="宋体" w:cs="宋体" w:hint="eastAsia"/>
                      <w:color w:val="000000"/>
                      <w:kern w:val="0"/>
                      <w:szCs w:val="21"/>
                    </w:rPr>
                    <w:t>1-5项支出合计不能超过资助标准上限。</w:t>
                  </w:r>
                </w:p>
              </w:tc>
            </w:tr>
          </w:tbl>
          <w:p w:rsidR="00970B64" w:rsidRPr="00970B64" w:rsidRDefault="00970B64" w:rsidP="00970B64">
            <w:pPr>
              <w:widowControl/>
              <w:spacing w:line="360" w:lineRule="auto"/>
              <w:rPr>
                <w:rFonts w:ascii="Times New Roman" w:eastAsia="宋体" w:hAnsi="Times New Roman" w:cs="Times New Roman"/>
                <w:color w:val="000000"/>
                <w:kern w:val="0"/>
                <w:szCs w:val="21"/>
              </w:rPr>
            </w:pPr>
            <w:r w:rsidRPr="00970B64">
              <w:rPr>
                <w:rFonts w:ascii="Times New Roman" w:eastAsia="宋体" w:hAnsi="Times New Roman" w:cs="Times New Roman"/>
                <w:color w:val="000000"/>
                <w:kern w:val="0"/>
                <w:szCs w:val="21"/>
              </w:rPr>
              <w:t> </w:t>
            </w:r>
          </w:p>
        </w:tc>
      </w:tr>
    </w:tbl>
    <w:p w:rsidR="00F222CA" w:rsidRPr="00970B64" w:rsidRDefault="00F222CA"/>
    <w:sectPr w:rsidR="00F222CA" w:rsidRPr="00970B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B64"/>
    <w:rsid w:val="00970B64"/>
    <w:rsid w:val="00F22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10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483</Words>
  <Characters>2755</Characters>
  <Application>Microsoft Office Word</Application>
  <DocSecurity>0</DocSecurity>
  <Lines>22</Lines>
  <Paragraphs>6</Paragraphs>
  <ScaleCrop>false</ScaleCrop>
  <Company>USST</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潘涛</dc:creator>
  <cp:lastModifiedBy>潘涛</cp:lastModifiedBy>
  <cp:revision>1</cp:revision>
  <dcterms:created xsi:type="dcterms:W3CDTF">2013-07-05T07:00:00Z</dcterms:created>
  <dcterms:modified xsi:type="dcterms:W3CDTF">2013-07-05T07:01:00Z</dcterms:modified>
</cp:coreProperties>
</file>