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214EF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</w:t>
      </w:r>
      <w:r w:rsidR="00F81BDF">
        <w:rPr>
          <w:rFonts w:cs="Times New Roman"/>
          <w:color w:val="auto"/>
          <w:kern w:val="2"/>
          <w:sz w:val="32"/>
          <w:szCs w:val="32"/>
        </w:rPr>
        <w:t>9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BEE7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A742D6" w:rsidRDefault="00322691" w:rsidP="00A742D6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742D6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 w:rsidR="00F81BDF" w:rsidRPr="00A742D6">
        <w:rPr>
          <w:rFonts w:ascii="Calibri" w:eastAsia="宋体" w:hAnsi="Calibri" w:cs="Times New Roman" w:hint="eastAsia"/>
          <w:b/>
          <w:sz w:val="36"/>
          <w:szCs w:val="36"/>
        </w:rPr>
        <w:t>本科生班主任、学士导师工作条例</w:t>
      </w:r>
    </w:p>
    <w:p w:rsidR="00F81BDF" w:rsidRPr="00A742D6" w:rsidRDefault="00F81BDF" w:rsidP="00F81BDF">
      <w:pPr>
        <w:spacing w:beforeLines="50" w:before="156" w:afterLines="50" w:after="156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一、</w:t>
      </w:r>
      <w:r w:rsidRPr="00A742D6">
        <w:rPr>
          <w:rFonts w:ascii="Arial" w:eastAsia="宋体" w:hAnsi="Arial" w:cs="Arial"/>
          <w:b/>
          <w:kern w:val="0"/>
          <w:sz w:val="30"/>
          <w:szCs w:val="30"/>
        </w:rPr>
        <w:t>总则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第一条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为深入贯彻落实全国高校思想政治工作会议精神，坚持把立德树人作为中心环节，把思想政治工作贯穿教育教学全过程，着力构建“三全育人”工作体系，合力培养德智体美劳全面发展的社会主义建设者和接班人，根据《</w:t>
      </w:r>
      <w:bookmarkStart w:id="0" w:name="OLE_LINK8"/>
      <w:bookmarkStart w:id="1" w:name="OLE_LINK9"/>
      <w:bookmarkStart w:id="2" w:name="OLE_LINK10"/>
      <w:bookmarkStart w:id="3" w:name="OLE_LINK11"/>
      <w:bookmarkStart w:id="4" w:name="OLE_LINK1"/>
      <w:bookmarkStart w:id="5" w:name="OLE_LINK2"/>
      <w:bookmarkStart w:id="6" w:name="OLE_LINK3"/>
      <w:r w:rsidRPr="00A742D6">
        <w:rPr>
          <w:rFonts w:ascii="Arial" w:eastAsia="宋体" w:hAnsi="Arial" w:cs="Arial" w:hint="eastAsia"/>
          <w:kern w:val="0"/>
          <w:sz w:val="30"/>
          <w:szCs w:val="30"/>
        </w:rPr>
        <w:t>教育部关于加强高等学校辅导员班主任队伍建设的意见</w:t>
      </w:r>
      <w:bookmarkEnd w:id="0"/>
      <w:bookmarkEnd w:id="1"/>
      <w:bookmarkEnd w:id="2"/>
      <w:bookmarkEnd w:id="3"/>
      <w:bookmarkEnd w:id="4"/>
      <w:bookmarkEnd w:id="5"/>
      <w:bookmarkEnd w:id="6"/>
      <w:r w:rsidRPr="00A742D6">
        <w:rPr>
          <w:rFonts w:ascii="Arial" w:eastAsia="宋体" w:hAnsi="Arial" w:cs="Arial" w:hint="eastAsia"/>
          <w:kern w:val="0"/>
          <w:sz w:val="30"/>
          <w:szCs w:val="30"/>
        </w:rPr>
        <w:t>》和学校《关于进一步加强新时期本科生班主任工作的实施意见》精神，结合管理学院具体实际，特制定本条例。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第二条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班主任、学士导师的作用和定位：班主任、学士导师队伍是开展大学生思想政治教育的重要力量，应在学院党委领导下，与</w:t>
      </w:r>
      <w:r w:rsidRPr="00A742D6">
        <w:rPr>
          <w:rFonts w:ascii="Arial" w:eastAsia="宋体" w:hAnsi="Arial" w:cs="Arial"/>
          <w:kern w:val="0"/>
          <w:sz w:val="30"/>
          <w:szCs w:val="30"/>
        </w:rPr>
        <w:t>辅导员相互配合，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加强对本科学生的日常管理、班风学风建设、学业及就业指导等。</w:t>
      </w:r>
    </w:p>
    <w:p w:rsidR="00F81BDF" w:rsidRPr="00A742D6" w:rsidRDefault="00F81BDF" w:rsidP="00F81BDF">
      <w:pPr>
        <w:spacing w:beforeLines="50" w:before="156" w:afterLines="50" w:after="156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二</w:t>
      </w:r>
      <w:r w:rsidRPr="00A742D6">
        <w:rPr>
          <w:rFonts w:ascii="Arial" w:eastAsia="宋体" w:hAnsi="Arial" w:cs="Arial"/>
          <w:b/>
          <w:kern w:val="0"/>
          <w:sz w:val="30"/>
          <w:szCs w:val="30"/>
        </w:rPr>
        <w:t>、</w:t>
      </w: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岗位设置与工作职责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第三条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在大一、大二学生中设班主任，按行政班管理，原则上每个行政班配备一名班主任；在大三、大四学生中设学士导师，原则上按照专业对应师生全覆盖。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lastRenderedPageBreak/>
        <w:t>第四条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班主任主要工作职责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（一）开展思想政治</w:t>
      </w:r>
      <w:r w:rsidRPr="00A742D6">
        <w:rPr>
          <w:rFonts w:ascii="Arial" w:eastAsia="宋体" w:hAnsi="Arial" w:cs="Arial"/>
          <w:kern w:val="0"/>
          <w:sz w:val="30"/>
          <w:szCs w:val="30"/>
        </w:rPr>
        <w:t>教育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。贯彻党的教育方针，引导学生树立正确的理想信念与</w:t>
      </w:r>
      <w:bookmarkStart w:id="7" w:name="_GoBack"/>
      <w:bookmarkEnd w:id="7"/>
      <w:r w:rsidRPr="00A742D6">
        <w:rPr>
          <w:rFonts w:ascii="Arial" w:eastAsia="宋体" w:hAnsi="Arial" w:cs="Arial" w:hint="eastAsia"/>
          <w:kern w:val="0"/>
          <w:sz w:val="30"/>
          <w:szCs w:val="30"/>
        </w:rPr>
        <w:t>世界观、人生观和价值观；围绕时事热点、学习、就业及学生关注的重点等，通过主题班会等形式，做好学生的思想教育活动；掌握学生的思想动态，对学生中存在的突出问题及时反映与</w:t>
      </w:r>
      <w:r w:rsidRPr="00A742D6">
        <w:rPr>
          <w:rFonts w:ascii="Arial" w:eastAsia="宋体" w:hAnsi="Arial" w:cs="Arial"/>
          <w:kern w:val="0"/>
          <w:sz w:val="30"/>
          <w:szCs w:val="30"/>
        </w:rPr>
        <w:t>解决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（二）加强班风</w:t>
      </w:r>
      <w:r w:rsidRPr="00A742D6">
        <w:rPr>
          <w:rFonts w:ascii="Arial" w:eastAsia="宋体" w:hAnsi="Arial" w:cs="Arial"/>
          <w:kern w:val="0"/>
          <w:sz w:val="30"/>
          <w:szCs w:val="30"/>
        </w:rPr>
        <w:t>学风建设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。加强班级文化建设，帮助学生树立专业意识与专业思想，培育形成良好的班风、学风；</w:t>
      </w:r>
      <w:r w:rsidRPr="00A742D6">
        <w:rPr>
          <w:rFonts w:ascii="Arial" w:eastAsia="宋体" w:hAnsi="Arial" w:cs="Arial"/>
          <w:kern w:val="0"/>
          <w:sz w:val="30"/>
          <w:szCs w:val="30"/>
        </w:rPr>
        <w:t>指导学生学业，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帮助学生掌握科学的学习方法，养成良好的学习习惯</w:t>
      </w:r>
      <w:r w:rsidRPr="00A742D6">
        <w:rPr>
          <w:rFonts w:ascii="Arial" w:eastAsia="宋体" w:hAnsi="Arial" w:cs="Arial"/>
          <w:kern w:val="0"/>
          <w:sz w:val="30"/>
          <w:szCs w:val="30"/>
        </w:rPr>
        <w:t>，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定期分析学生学业情况，</w:t>
      </w:r>
      <w:r w:rsidRPr="00A742D6">
        <w:rPr>
          <w:rFonts w:ascii="Arial" w:eastAsia="宋体" w:hAnsi="Arial" w:cs="Arial"/>
          <w:kern w:val="0"/>
          <w:sz w:val="30"/>
          <w:szCs w:val="30"/>
        </w:rPr>
        <w:t>提高班级学习成绩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；</w:t>
      </w:r>
      <w:r w:rsidRPr="00A742D6">
        <w:rPr>
          <w:rFonts w:ascii="Arial" w:eastAsia="宋体" w:hAnsi="Arial" w:cs="Arial"/>
          <w:kern w:val="0"/>
          <w:sz w:val="30"/>
          <w:szCs w:val="30"/>
        </w:rPr>
        <w:t>通过各种途径提高学生学习积极性、主动性，不定时进行随堂听课；指导学生积极开展和参加各</w:t>
      </w:r>
      <w:proofErr w:type="gramStart"/>
      <w:r w:rsidRPr="00A742D6">
        <w:rPr>
          <w:rFonts w:ascii="Arial" w:eastAsia="宋体" w:hAnsi="Arial" w:cs="Arial"/>
          <w:kern w:val="0"/>
          <w:sz w:val="30"/>
          <w:szCs w:val="30"/>
        </w:rPr>
        <w:t>类创新</w:t>
      </w:r>
      <w:proofErr w:type="gramEnd"/>
      <w:r w:rsidRPr="00A742D6">
        <w:rPr>
          <w:rFonts w:ascii="Arial" w:eastAsia="宋体" w:hAnsi="Arial" w:cs="Arial"/>
          <w:kern w:val="0"/>
          <w:sz w:val="30"/>
          <w:szCs w:val="30"/>
        </w:rPr>
        <w:t>实践、社会考察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，培养学生的创新精神和实践能力</w:t>
      </w:r>
      <w:r w:rsidRPr="00A742D6">
        <w:rPr>
          <w:rFonts w:ascii="Arial" w:eastAsia="宋体" w:hAnsi="Arial" w:cs="Arial"/>
          <w:kern w:val="0"/>
          <w:sz w:val="30"/>
          <w:szCs w:val="30"/>
        </w:rPr>
        <w:t>；加强学生诚信教育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（三）</w:t>
      </w:r>
      <w:r w:rsidRPr="00A742D6">
        <w:rPr>
          <w:rFonts w:ascii="Arial" w:eastAsia="宋体" w:hAnsi="Arial" w:cs="Arial"/>
          <w:kern w:val="0"/>
          <w:sz w:val="30"/>
          <w:szCs w:val="30"/>
        </w:rPr>
        <w:t>指导班级管理工作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</w:t>
      </w:r>
      <w:r w:rsidRPr="00A742D6">
        <w:rPr>
          <w:rFonts w:ascii="Arial" w:eastAsia="宋体" w:hAnsi="Arial" w:cs="Arial"/>
          <w:kern w:val="0"/>
          <w:sz w:val="30"/>
          <w:szCs w:val="30"/>
        </w:rPr>
        <w:t>建立定期与学生谈心谈话的长效机制，鼓励深入寝室了解学生思想、学习、家庭等情况，关心和帮助学生德智体美劳全面发展，掌握学生的思想动态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A742D6">
        <w:rPr>
          <w:rFonts w:ascii="Arial" w:eastAsia="宋体" w:hAnsi="Arial" w:cs="Arial"/>
          <w:kern w:val="0"/>
          <w:sz w:val="30"/>
          <w:szCs w:val="30"/>
        </w:rPr>
        <w:t>心理健康状况，及时与专职学生工作管理者沟通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；开展“一班一品”特色品牌班级创建活动；</w:t>
      </w:r>
      <w:r w:rsidRPr="00A742D6">
        <w:rPr>
          <w:rFonts w:ascii="Arial" w:eastAsia="宋体" w:hAnsi="Arial" w:cs="Arial"/>
          <w:kern w:val="0"/>
          <w:sz w:val="30"/>
          <w:szCs w:val="30"/>
        </w:rPr>
        <w:t>对于在各方</w:t>
      </w:r>
      <w:proofErr w:type="gramStart"/>
      <w:r w:rsidRPr="00A742D6">
        <w:rPr>
          <w:rFonts w:ascii="Arial" w:eastAsia="宋体" w:hAnsi="Arial" w:cs="Arial"/>
          <w:kern w:val="0"/>
          <w:sz w:val="30"/>
          <w:szCs w:val="30"/>
        </w:rPr>
        <w:t>面遇到</w:t>
      </w:r>
      <w:proofErr w:type="gramEnd"/>
      <w:r w:rsidRPr="00A742D6">
        <w:rPr>
          <w:rFonts w:ascii="Arial" w:eastAsia="宋体" w:hAnsi="Arial" w:cs="Arial"/>
          <w:kern w:val="0"/>
          <w:sz w:val="30"/>
          <w:szCs w:val="30"/>
        </w:rPr>
        <w:t>困难的学生给予必要的指导和帮助</w:t>
      </w:r>
      <w:r w:rsidRPr="00A742D6">
        <w:rPr>
          <w:rFonts w:ascii="Arial" w:eastAsia="宋体" w:hAnsi="Arial" w:cs="Arial"/>
          <w:kern w:val="0"/>
          <w:sz w:val="30"/>
          <w:szCs w:val="30"/>
        </w:rPr>
        <w:t>,</w:t>
      </w:r>
      <w:r w:rsidRPr="00A742D6">
        <w:rPr>
          <w:rFonts w:ascii="Arial" w:eastAsia="宋体" w:hAnsi="Arial" w:cs="Arial"/>
          <w:kern w:val="0"/>
          <w:sz w:val="30"/>
          <w:szCs w:val="30"/>
        </w:rPr>
        <w:t>并做好相关记录。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（四）做好学生发展</w:t>
      </w:r>
      <w:r w:rsidRPr="00A742D6">
        <w:rPr>
          <w:rFonts w:ascii="Arial" w:eastAsia="宋体" w:hAnsi="Arial" w:cs="Arial"/>
          <w:kern w:val="0"/>
          <w:sz w:val="30"/>
          <w:szCs w:val="30"/>
        </w:rPr>
        <w:t>导航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和个性化指导。指导学生对四年的学习生活进行合理规划；有针对性地帮助学生处理好学习成才、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lastRenderedPageBreak/>
        <w:t>择业交友、健康生活等方面的具体问题。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第五条</w:t>
      </w:r>
      <w:r w:rsidR="002A671A">
        <w:rPr>
          <w:rFonts w:ascii="Arial" w:eastAsia="宋体" w:hAnsi="Arial" w:cs="Arial" w:hint="eastAsia"/>
          <w:b/>
          <w:kern w:val="0"/>
          <w:sz w:val="30"/>
          <w:szCs w:val="30"/>
        </w:rPr>
        <w:t xml:space="preserve"> </w:t>
      </w:r>
      <w:r w:rsidR="002A671A">
        <w:rPr>
          <w:rFonts w:ascii="Arial" w:eastAsia="宋体" w:hAnsi="Arial" w:cs="Arial"/>
          <w:b/>
          <w:kern w:val="0"/>
          <w:sz w:val="30"/>
          <w:szCs w:val="30"/>
        </w:rPr>
        <w:t xml:space="preserve">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学士导师主要工作职责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（一）开展思想政治</w:t>
      </w:r>
      <w:r w:rsidRPr="00A742D6">
        <w:rPr>
          <w:rFonts w:ascii="Arial" w:eastAsia="宋体" w:hAnsi="Arial" w:cs="Arial"/>
          <w:kern w:val="0"/>
          <w:sz w:val="30"/>
          <w:szCs w:val="30"/>
        </w:rPr>
        <w:t>教育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。贯彻党的教育方针，引导学生树立正确的理想信念与世界观、人生观和价值观；掌握学生的思想动态，对学生中存在的突出问题及时反映与</w:t>
      </w:r>
      <w:r w:rsidRPr="00A742D6">
        <w:rPr>
          <w:rFonts w:ascii="Arial" w:eastAsia="宋体" w:hAnsi="Arial" w:cs="Arial"/>
          <w:kern w:val="0"/>
          <w:sz w:val="30"/>
          <w:szCs w:val="30"/>
        </w:rPr>
        <w:t>解决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（二）加强</w:t>
      </w:r>
      <w:r w:rsidRPr="00A742D6">
        <w:rPr>
          <w:rFonts w:ascii="Arial" w:eastAsia="宋体" w:hAnsi="Arial" w:cs="Arial"/>
          <w:kern w:val="0"/>
          <w:sz w:val="30"/>
          <w:szCs w:val="30"/>
        </w:rPr>
        <w:t>学风建设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，做好专业教育。引导学生进行深入的专业学习，指导学生对个人发展进行合理规划；有针对性地帮助学生处理好学习成才、择业交友、健康生活等方面的具体问题；</w:t>
      </w:r>
      <w:r w:rsidRPr="00A742D6">
        <w:rPr>
          <w:rFonts w:ascii="Arial" w:eastAsia="宋体" w:hAnsi="Arial" w:cs="Arial"/>
          <w:kern w:val="0"/>
          <w:sz w:val="30"/>
          <w:szCs w:val="30"/>
        </w:rPr>
        <w:t>指导学生参加各</w:t>
      </w:r>
      <w:proofErr w:type="gramStart"/>
      <w:r w:rsidRPr="00A742D6">
        <w:rPr>
          <w:rFonts w:ascii="Arial" w:eastAsia="宋体" w:hAnsi="Arial" w:cs="Arial"/>
          <w:kern w:val="0"/>
          <w:sz w:val="30"/>
          <w:szCs w:val="30"/>
        </w:rPr>
        <w:t>类创新</w:t>
      </w:r>
      <w:proofErr w:type="gramEnd"/>
      <w:r w:rsidRPr="00A742D6">
        <w:rPr>
          <w:rFonts w:ascii="Arial" w:eastAsia="宋体" w:hAnsi="Arial" w:cs="Arial"/>
          <w:kern w:val="0"/>
          <w:sz w:val="30"/>
          <w:szCs w:val="30"/>
        </w:rPr>
        <w:t>实践、社会考察，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培养学生的创新精神和实践能力。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（三）加强学术引导和就业指导。通过主题报告等形式进行学术引导；鼓励优秀的学生进入科研团队，指导学生开展各</w:t>
      </w:r>
      <w:proofErr w:type="gramStart"/>
      <w:r w:rsidRPr="00A742D6">
        <w:rPr>
          <w:rFonts w:ascii="Arial" w:eastAsia="宋体" w:hAnsi="Arial" w:cs="Arial" w:hint="eastAsia"/>
          <w:kern w:val="0"/>
          <w:sz w:val="30"/>
          <w:szCs w:val="30"/>
        </w:rPr>
        <w:t>类创新</w:t>
      </w:r>
      <w:proofErr w:type="gramEnd"/>
      <w:r w:rsidRPr="00A742D6">
        <w:rPr>
          <w:rFonts w:ascii="Arial" w:eastAsia="宋体" w:hAnsi="Arial" w:cs="Arial" w:hint="eastAsia"/>
          <w:kern w:val="0"/>
          <w:sz w:val="30"/>
          <w:szCs w:val="30"/>
        </w:rPr>
        <w:t>创业活动</w:t>
      </w:r>
      <w:proofErr w:type="gramStart"/>
      <w:r w:rsidRPr="00A742D6">
        <w:rPr>
          <w:rFonts w:ascii="Arial" w:eastAsia="宋体" w:hAnsi="Arial" w:cs="Arial" w:hint="eastAsia"/>
          <w:kern w:val="0"/>
          <w:sz w:val="30"/>
          <w:szCs w:val="30"/>
        </w:rPr>
        <w:t>和科创活</w:t>
      </w:r>
      <w:proofErr w:type="gramEnd"/>
      <w:r w:rsidRPr="00A742D6">
        <w:rPr>
          <w:rFonts w:ascii="Arial" w:eastAsia="宋体" w:hAnsi="Arial" w:cs="Arial" w:hint="eastAsia"/>
          <w:kern w:val="0"/>
          <w:sz w:val="30"/>
          <w:szCs w:val="30"/>
        </w:rPr>
        <w:t>动；帮助学生树立正确的就业观，推荐学生到企业实习，向学生推荐就业信息。</w:t>
      </w:r>
    </w:p>
    <w:p w:rsidR="00F81BDF" w:rsidRPr="00A742D6" w:rsidRDefault="00F81BDF" w:rsidP="00F81BDF">
      <w:pPr>
        <w:spacing w:beforeLines="50" w:before="156" w:afterLines="50" w:after="156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三、</w:t>
      </w:r>
      <w:r w:rsidRPr="00A742D6">
        <w:rPr>
          <w:rFonts w:ascii="Arial" w:eastAsia="宋体" w:hAnsi="Arial" w:cs="Arial"/>
          <w:b/>
          <w:kern w:val="0"/>
          <w:sz w:val="30"/>
          <w:szCs w:val="30"/>
        </w:rPr>
        <w:t>聘</w:t>
      </w: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任与管理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第六条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任职基本条件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拥护党的基本路线，具有较高的思想理论和政策水平，在重大政治问题上立场坚定，旗帜鲜明，与党中央保持高度一致，坚决维护党和国家的利益及学校稳定；热心学生教育管理工作，乐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lastRenderedPageBreak/>
        <w:t>于奉献；具备较强的业务能力和一定的组织管理能力；遵纪守法，作风正派。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第七条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选聘与日常管理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（一）鼓励具有较强育</w:t>
      </w:r>
      <w:proofErr w:type="gramStart"/>
      <w:r w:rsidRPr="00A742D6">
        <w:rPr>
          <w:rFonts w:ascii="Arial" w:eastAsia="宋体" w:hAnsi="Arial" w:cs="Arial" w:hint="eastAsia"/>
          <w:kern w:val="0"/>
          <w:sz w:val="30"/>
          <w:szCs w:val="30"/>
        </w:rPr>
        <w:t>德意识</w:t>
      </w:r>
      <w:proofErr w:type="gramEnd"/>
      <w:r w:rsidRPr="00A742D6">
        <w:rPr>
          <w:rFonts w:ascii="Arial" w:eastAsia="宋体" w:hAnsi="Arial" w:cs="Arial" w:hint="eastAsia"/>
          <w:kern w:val="0"/>
          <w:sz w:val="30"/>
          <w:szCs w:val="30"/>
        </w:rPr>
        <w:t>与育</w:t>
      </w:r>
      <w:proofErr w:type="gramStart"/>
      <w:r w:rsidRPr="00A742D6">
        <w:rPr>
          <w:rFonts w:ascii="Arial" w:eastAsia="宋体" w:hAnsi="Arial" w:cs="Arial" w:hint="eastAsia"/>
          <w:kern w:val="0"/>
          <w:sz w:val="30"/>
          <w:szCs w:val="30"/>
        </w:rPr>
        <w:t>德能</w:t>
      </w:r>
      <w:proofErr w:type="gramEnd"/>
      <w:r w:rsidRPr="00A742D6">
        <w:rPr>
          <w:rFonts w:ascii="Arial" w:eastAsia="宋体" w:hAnsi="Arial" w:cs="Arial" w:hint="eastAsia"/>
          <w:kern w:val="0"/>
          <w:sz w:val="30"/>
          <w:szCs w:val="30"/>
        </w:rPr>
        <w:t>力的专任教师担班主任，鼓励具有育人经验的机关部处、学院党政管理干部担任班主任；学士导师原则上由学院专业教师担任。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（二）每年暑假前完成班主任、学士导师的选聘，由各系党支部进行思想政治把关。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（三）班主任聘期原则上为一年，聘期满后，可根据工作需要续聘。学士导师原则上应连续指导学生至本科毕业。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（四）班主任的选聘、培训、考核和日常管理，由学院院长和书记直接统抓，本科教学副院长、分管学生工作的副书记负责落实。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第八条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考核与激励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（一）日常工作考核。班主任、学士导师</w:t>
      </w:r>
      <w:r w:rsidRPr="00A742D6">
        <w:rPr>
          <w:rFonts w:ascii="Arial" w:eastAsia="宋体" w:hAnsi="Arial" w:cs="Arial"/>
          <w:kern w:val="0"/>
          <w:sz w:val="30"/>
          <w:szCs w:val="30"/>
        </w:rPr>
        <w:t>工作由学院组织考核，每学年开展一次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考核</w:t>
      </w:r>
      <w:r w:rsidRPr="00A742D6">
        <w:rPr>
          <w:rFonts w:ascii="Arial" w:eastAsia="宋体" w:hAnsi="Arial" w:cs="Arial"/>
          <w:kern w:val="0"/>
          <w:sz w:val="30"/>
          <w:szCs w:val="30"/>
        </w:rPr>
        <w:t>。结合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工作记录</w:t>
      </w:r>
      <w:r w:rsidRPr="00A742D6">
        <w:rPr>
          <w:rFonts w:ascii="Arial" w:eastAsia="宋体" w:hAnsi="Arial" w:cs="Arial"/>
          <w:kern w:val="0"/>
          <w:sz w:val="30"/>
          <w:szCs w:val="30"/>
        </w:rPr>
        <w:t>、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绩效评价、学生评议等方面进行考核，绩效评价主要指学生重大获奖率、考研升学率、高质量就业率、期末考试及格率、违纪情况等。</w:t>
      </w:r>
      <w:r w:rsidRPr="00A742D6">
        <w:rPr>
          <w:rFonts w:ascii="Arial" w:eastAsia="宋体" w:hAnsi="Arial" w:cs="Arial"/>
          <w:kern w:val="0"/>
          <w:sz w:val="30"/>
          <w:szCs w:val="30"/>
        </w:rPr>
        <w:t>考核结果作为教师岗位聘用、职称评定、工作考核、评优奖励的依据之一。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班主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lastRenderedPageBreak/>
        <w:t>任经历作为专任教师职务晋升的必要条件。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（二）</w:t>
      </w:r>
      <w:r w:rsidRPr="00A742D6">
        <w:rPr>
          <w:rFonts w:ascii="Arial" w:eastAsia="宋体" w:hAnsi="Arial" w:cs="Arial"/>
          <w:kern w:val="0"/>
          <w:sz w:val="30"/>
          <w:szCs w:val="30"/>
        </w:rPr>
        <w:t>专项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津贴与奖励</w:t>
      </w:r>
      <w:r w:rsidRPr="00A742D6">
        <w:rPr>
          <w:rFonts w:ascii="Arial" w:eastAsia="宋体" w:hAnsi="Arial" w:cs="Arial"/>
          <w:kern w:val="0"/>
          <w:sz w:val="30"/>
          <w:szCs w:val="30"/>
        </w:rPr>
        <w:t>。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学院</w:t>
      </w:r>
      <w:r w:rsidRPr="00A742D6">
        <w:rPr>
          <w:rFonts w:ascii="Arial" w:eastAsia="宋体" w:hAnsi="Arial" w:cs="Arial"/>
          <w:kern w:val="0"/>
          <w:sz w:val="30"/>
          <w:szCs w:val="30"/>
        </w:rPr>
        <w:t>设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立按月发放的</w:t>
      </w:r>
      <w:r w:rsidRPr="00A742D6">
        <w:rPr>
          <w:rFonts w:ascii="Arial" w:eastAsia="宋体" w:hAnsi="Arial" w:cs="Arial"/>
          <w:kern w:val="0"/>
          <w:sz w:val="30"/>
          <w:szCs w:val="30"/>
        </w:rPr>
        <w:t>班主任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、导师育人工作专项经费</w:t>
      </w:r>
      <w:r w:rsidRPr="00A742D6">
        <w:rPr>
          <w:rFonts w:ascii="Arial" w:eastAsia="宋体" w:hAnsi="Arial" w:cs="Arial"/>
          <w:kern w:val="0"/>
          <w:sz w:val="30"/>
          <w:szCs w:val="30"/>
        </w:rPr>
        <w:t>。考核结果为</w:t>
      </w:r>
      <w:r w:rsidRPr="00A742D6">
        <w:rPr>
          <w:rFonts w:ascii="Arial" w:eastAsia="宋体" w:hAnsi="Arial" w:cs="Arial"/>
          <w:kern w:val="0"/>
          <w:sz w:val="30"/>
          <w:szCs w:val="30"/>
        </w:rPr>
        <w:t>“</w:t>
      </w:r>
      <w:r w:rsidRPr="00A742D6">
        <w:rPr>
          <w:rFonts w:ascii="Arial" w:eastAsia="宋体" w:hAnsi="Arial" w:cs="Arial"/>
          <w:kern w:val="0"/>
          <w:sz w:val="30"/>
          <w:szCs w:val="30"/>
        </w:rPr>
        <w:t>优秀</w:t>
      </w:r>
      <w:r w:rsidRPr="00A742D6">
        <w:rPr>
          <w:rFonts w:ascii="Arial" w:eastAsia="宋体" w:hAnsi="Arial" w:cs="Arial"/>
          <w:kern w:val="0"/>
          <w:sz w:val="30"/>
          <w:szCs w:val="30"/>
        </w:rPr>
        <w:t>”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者</w:t>
      </w:r>
      <w:r w:rsidRPr="00A742D6">
        <w:rPr>
          <w:rFonts w:ascii="Arial" w:eastAsia="宋体" w:hAnsi="Arial" w:cs="Arial"/>
          <w:kern w:val="0"/>
          <w:sz w:val="30"/>
          <w:szCs w:val="30"/>
        </w:rPr>
        <w:t>，另给予一定的奖励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，并在职务晋升、干部选拔时优先推荐。考核结果为“优秀”的名额一般不超过总人数的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30%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（三）鼓励政策。对在本科生培养工作中表现突出的专业教师，同等条件下优先推荐岗位晋升。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（四）考核结果为“不合格”的班主任、学士导师，学院终止聘任。</w:t>
      </w:r>
    </w:p>
    <w:p w:rsidR="00F81BDF" w:rsidRPr="00A742D6" w:rsidRDefault="00F81BDF" w:rsidP="00F81BDF">
      <w:pPr>
        <w:spacing w:beforeLines="50" w:before="156" w:afterLines="50" w:after="156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四、组织保障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第九条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学院加强对班主任、学士导师工作的领导，成立工作领导小组，由学院党委书记、院长任组长，副书记、副院长任副组长，办公室设在学工办。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第十条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设立专项资金用于发放班主任、学士导师工作津贴及奖励。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第十一条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进一步健全各类评先推优制度，</w:t>
      </w:r>
      <w:r w:rsidRPr="00A742D6">
        <w:rPr>
          <w:rFonts w:ascii="Arial" w:eastAsia="宋体" w:hAnsi="Arial" w:cs="Arial"/>
          <w:kern w:val="0"/>
          <w:sz w:val="30"/>
          <w:szCs w:val="30"/>
        </w:rPr>
        <w:t>加强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典型</w:t>
      </w:r>
      <w:r w:rsidRPr="00A742D6">
        <w:rPr>
          <w:rFonts w:ascii="Arial" w:eastAsia="宋体" w:hAnsi="Arial" w:cs="Arial"/>
          <w:kern w:val="0"/>
          <w:sz w:val="30"/>
          <w:szCs w:val="30"/>
        </w:rPr>
        <w:t>宣传工作，充分发挥先进典型在育人工作中的示范作用，营造良好</w:t>
      </w:r>
      <w:r w:rsidRPr="00A742D6">
        <w:rPr>
          <w:rFonts w:ascii="Arial" w:eastAsia="宋体" w:hAnsi="Arial" w:cs="Arial"/>
          <w:kern w:val="0"/>
          <w:sz w:val="30"/>
          <w:szCs w:val="30"/>
        </w:rPr>
        <w:t>“</w:t>
      </w:r>
      <w:r w:rsidRPr="00A742D6">
        <w:rPr>
          <w:rFonts w:ascii="Arial" w:eastAsia="宋体" w:hAnsi="Arial" w:cs="Arial"/>
          <w:kern w:val="0"/>
          <w:sz w:val="30"/>
          <w:szCs w:val="30"/>
        </w:rPr>
        <w:t>三全</w:t>
      </w:r>
      <w:r w:rsidRPr="00A742D6">
        <w:rPr>
          <w:rFonts w:ascii="Arial" w:eastAsia="宋体" w:hAnsi="Arial" w:cs="Arial"/>
          <w:kern w:val="0"/>
          <w:sz w:val="30"/>
          <w:szCs w:val="30"/>
        </w:rPr>
        <w:t>”</w:t>
      </w:r>
      <w:r w:rsidRPr="00A742D6">
        <w:rPr>
          <w:rFonts w:ascii="Arial" w:eastAsia="宋体" w:hAnsi="Arial" w:cs="Arial"/>
          <w:kern w:val="0"/>
          <w:sz w:val="30"/>
          <w:szCs w:val="30"/>
        </w:rPr>
        <w:t>育人氛围。</w:t>
      </w:r>
    </w:p>
    <w:p w:rsidR="00F81BDF" w:rsidRPr="00A742D6" w:rsidRDefault="00F81BDF" w:rsidP="00F81BDF">
      <w:pPr>
        <w:spacing w:beforeLines="50" w:before="156" w:afterLines="50" w:after="156" w:line="360" w:lineRule="auto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五、附则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lastRenderedPageBreak/>
        <w:t>第十二条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本条例由管理学院负责解释，未尽事宜依照上理工委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[2019]31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号文件执行。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第十三条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本条例自公布之日起施行并报学校备案。</w:t>
      </w:r>
    </w:p>
    <w:p w:rsidR="00F81BDF" w:rsidRPr="00A742D6" w:rsidRDefault="00F81BDF" w:rsidP="00A742D6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b/>
          <w:kern w:val="0"/>
          <w:sz w:val="30"/>
          <w:szCs w:val="30"/>
        </w:rPr>
        <w:t>第十四条</w:t>
      </w:r>
      <w:r w:rsidR="002A671A">
        <w:rPr>
          <w:rFonts w:ascii="Arial" w:eastAsia="宋体" w:hAnsi="Arial" w:cs="Arial"/>
          <w:kern w:val="0"/>
          <w:sz w:val="30"/>
          <w:szCs w:val="30"/>
        </w:rPr>
        <w:t xml:space="preserve">  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上理管【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A742D6">
        <w:rPr>
          <w:rFonts w:ascii="Arial" w:eastAsia="宋体" w:hAnsi="Arial" w:cs="Arial"/>
          <w:kern w:val="0"/>
          <w:sz w:val="30"/>
          <w:szCs w:val="30"/>
        </w:rPr>
        <w:t>019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】</w:t>
      </w:r>
      <w:r w:rsidRPr="00A742D6">
        <w:rPr>
          <w:rFonts w:ascii="Arial" w:eastAsia="宋体" w:hAnsi="Arial" w:cs="Arial"/>
          <w:kern w:val="0"/>
          <w:sz w:val="30"/>
          <w:szCs w:val="30"/>
        </w:rPr>
        <w:t>8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号管理学院本科生班主任、学士导师工作条例（试行）废止。</w:t>
      </w:r>
    </w:p>
    <w:p w:rsidR="00042EAD" w:rsidRDefault="00042EAD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042EAD" w:rsidRDefault="00042EAD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A742D6" w:rsidRDefault="00C96CE9" w:rsidP="00A742D6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A742D6" w:rsidRDefault="00C96CE9" w:rsidP="00A742D6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A742D6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A742D6">
        <w:rPr>
          <w:rFonts w:ascii="Arial" w:eastAsia="宋体" w:hAnsi="Arial" w:cs="Arial"/>
          <w:kern w:val="0"/>
          <w:sz w:val="30"/>
          <w:szCs w:val="30"/>
        </w:rPr>
        <w:t>20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A742D6">
        <w:rPr>
          <w:rFonts w:ascii="Arial" w:eastAsia="宋体" w:hAnsi="Arial" w:cs="Arial"/>
          <w:kern w:val="0"/>
          <w:sz w:val="30"/>
          <w:szCs w:val="30"/>
        </w:rPr>
        <w:t>5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A742D6">
        <w:rPr>
          <w:rFonts w:ascii="Arial" w:eastAsia="宋体" w:hAnsi="Arial" w:cs="Arial"/>
          <w:kern w:val="0"/>
          <w:sz w:val="30"/>
          <w:szCs w:val="30"/>
        </w:rPr>
        <w:t>13</w:t>
      </w:r>
      <w:r w:rsidRPr="00A742D6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A742D6" w:rsidRDefault="00A742D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4593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F5BCF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8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A55CDD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8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B3D" w:rsidRDefault="00B07B3D" w:rsidP="000156AB">
      <w:r>
        <w:separator/>
      </w:r>
    </w:p>
  </w:endnote>
  <w:endnote w:type="continuationSeparator" w:id="0">
    <w:p w:rsidR="00B07B3D" w:rsidRDefault="00B07B3D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B3D" w:rsidRDefault="00B07B3D" w:rsidP="000156AB">
      <w:r>
        <w:separator/>
      </w:r>
    </w:p>
  </w:footnote>
  <w:footnote w:type="continuationSeparator" w:id="0">
    <w:p w:rsidR="00B07B3D" w:rsidRDefault="00B07B3D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42EAD"/>
    <w:rsid w:val="00061EF6"/>
    <w:rsid w:val="00093C16"/>
    <w:rsid w:val="000B0839"/>
    <w:rsid w:val="000C79B9"/>
    <w:rsid w:val="000D3175"/>
    <w:rsid w:val="000E782E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A671A"/>
    <w:rsid w:val="002B251F"/>
    <w:rsid w:val="002B6618"/>
    <w:rsid w:val="002E398D"/>
    <w:rsid w:val="002E7DB2"/>
    <w:rsid w:val="00300FA9"/>
    <w:rsid w:val="003137C3"/>
    <w:rsid w:val="00322691"/>
    <w:rsid w:val="00347D90"/>
    <w:rsid w:val="0035466C"/>
    <w:rsid w:val="00371A56"/>
    <w:rsid w:val="003A4138"/>
    <w:rsid w:val="003A575B"/>
    <w:rsid w:val="003B2E68"/>
    <w:rsid w:val="003B69FF"/>
    <w:rsid w:val="003D591C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4E72"/>
    <w:rsid w:val="006C6F23"/>
    <w:rsid w:val="006D1438"/>
    <w:rsid w:val="00710005"/>
    <w:rsid w:val="00711A3B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3912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655"/>
    <w:rsid w:val="00A55480"/>
    <w:rsid w:val="00A55740"/>
    <w:rsid w:val="00A55CDD"/>
    <w:rsid w:val="00A650D7"/>
    <w:rsid w:val="00A742D6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34E4"/>
    <w:rsid w:val="00AE4BE6"/>
    <w:rsid w:val="00AE690C"/>
    <w:rsid w:val="00AF03AB"/>
    <w:rsid w:val="00AF0409"/>
    <w:rsid w:val="00AF1438"/>
    <w:rsid w:val="00AF1BAD"/>
    <w:rsid w:val="00B07B3D"/>
    <w:rsid w:val="00B11359"/>
    <w:rsid w:val="00B207E2"/>
    <w:rsid w:val="00B26FAE"/>
    <w:rsid w:val="00B346AD"/>
    <w:rsid w:val="00B42CED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C206C"/>
    <w:rsid w:val="00BD4617"/>
    <w:rsid w:val="00BD7C6E"/>
    <w:rsid w:val="00BE478E"/>
    <w:rsid w:val="00BF3A1C"/>
    <w:rsid w:val="00C14D5E"/>
    <w:rsid w:val="00C224F7"/>
    <w:rsid w:val="00C37198"/>
    <w:rsid w:val="00C441D6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0692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6E65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11B5"/>
    <w:rsid w:val="00E7403B"/>
    <w:rsid w:val="00EA7C66"/>
    <w:rsid w:val="00EC0E64"/>
    <w:rsid w:val="00ED7873"/>
    <w:rsid w:val="00EF5E20"/>
    <w:rsid w:val="00EF6E74"/>
    <w:rsid w:val="00F01ADB"/>
    <w:rsid w:val="00F131ED"/>
    <w:rsid w:val="00F214EF"/>
    <w:rsid w:val="00F3031C"/>
    <w:rsid w:val="00F310C4"/>
    <w:rsid w:val="00F36BE6"/>
    <w:rsid w:val="00F450A0"/>
    <w:rsid w:val="00F516AB"/>
    <w:rsid w:val="00F67030"/>
    <w:rsid w:val="00F81BDF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01E4-47F5-4647-AA2B-B71E737D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154</cp:revision>
  <cp:lastPrinted>2020-04-28T03:09:00Z</cp:lastPrinted>
  <dcterms:created xsi:type="dcterms:W3CDTF">2013-12-04T00:30:00Z</dcterms:created>
  <dcterms:modified xsi:type="dcterms:W3CDTF">2020-06-03T08:20:00Z</dcterms:modified>
</cp:coreProperties>
</file>